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356" w:type="dxa"/>
        <w:tblInd w:w="-176" w:type="dxa"/>
        <w:tblLayout w:type="fixed"/>
        <w:tblLook w:val="04A0" w:firstRow="1" w:lastRow="0" w:firstColumn="1" w:lastColumn="0" w:noHBand="0" w:noVBand="1"/>
      </w:tblPr>
      <w:tblGrid>
        <w:gridCol w:w="2978"/>
        <w:gridCol w:w="6378"/>
      </w:tblGrid>
      <w:tr w:rsidR="002A00FA" w:rsidRPr="0028297A" w14:paraId="0F564B08" w14:textId="77777777" w:rsidTr="00563B96">
        <w:trPr>
          <w:trHeight w:val="273"/>
        </w:trPr>
        <w:tc>
          <w:tcPr>
            <w:tcW w:w="2978" w:type="dxa"/>
            <w:vMerge w:val="restart"/>
            <w:shd w:val="clear" w:color="auto" w:fill="B8CCE4" w:themeFill="accent1" w:themeFillTint="66"/>
            <w:vAlign w:val="center"/>
          </w:tcPr>
          <w:p w14:paraId="7BB1EF6B" w14:textId="77777777" w:rsidR="002A00FA" w:rsidRPr="0028297A" w:rsidRDefault="002A00FA" w:rsidP="006C0E0D">
            <w:pPr>
              <w:ind w:left="1416" w:hanging="1416"/>
              <w:jc w:val="center"/>
              <w:rPr>
                <w:rFonts w:ascii="Arial" w:hAnsi="Arial" w:cs="Arial"/>
                <w:b/>
                <w:sz w:val="22"/>
                <w:szCs w:val="22"/>
              </w:rPr>
            </w:pPr>
            <w:r w:rsidRPr="0028297A">
              <w:rPr>
                <w:rFonts w:ascii="Arial" w:hAnsi="Arial" w:cs="Arial"/>
                <w:b/>
                <w:sz w:val="22"/>
                <w:szCs w:val="22"/>
              </w:rPr>
              <w:t>ESTUDIO PREVIO</w:t>
            </w:r>
          </w:p>
        </w:tc>
        <w:tc>
          <w:tcPr>
            <w:tcW w:w="6378" w:type="dxa"/>
          </w:tcPr>
          <w:p w14:paraId="743AD04F" w14:textId="77777777" w:rsidR="002A00FA" w:rsidRPr="0028297A" w:rsidRDefault="002A00FA" w:rsidP="007426AF">
            <w:pPr>
              <w:pStyle w:val="Sinespaciado"/>
              <w:rPr>
                <w:rFonts w:ascii="Arial" w:hAnsi="Arial" w:cs="Arial"/>
                <w:b/>
                <w:bCs/>
                <w:lang w:val="es-ES_tradnl"/>
              </w:rPr>
            </w:pPr>
            <w:r w:rsidRPr="0028297A">
              <w:rPr>
                <w:rFonts w:ascii="Arial" w:hAnsi="Arial" w:cs="Arial"/>
                <w:b/>
                <w:lang w:val="es-ES_tradnl"/>
              </w:rPr>
              <w:t>MODALIDAD DE SELECCIÓN</w:t>
            </w:r>
          </w:p>
        </w:tc>
      </w:tr>
      <w:tr w:rsidR="002A00FA" w:rsidRPr="0028297A" w14:paraId="6B0894B9" w14:textId="77777777" w:rsidTr="00563B96">
        <w:tc>
          <w:tcPr>
            <w:tcW w:w="2978" w:type="dxa"/>
            <w:vMerge/>
            <w:shd w:val="clear" w:color="auto" w:fill="B8CCE4" w:themeFill="accent1" w:themeFillTint="66"/>
          </w:tcPr>
          <w:p w14:paraId="7C892DC5" w14:textId="77777777" w:rsidR="002A00FA" w:rsidRPr="0028297A" w:rsidRDefault="002A00FA" w:rsidP="007426AF">
            <w:pPr>
              <w:rPr>
                <w:rFonts w:ascii="Arial" w:hAnsi="Arial" w:cs="Arial"/>
                <w:b/>
                <w:sz w:val="22"/>
                <w:szCs w:val="22"/>
              </w:rPr>
            </w:pPr>
          </w:p>
        </w:tc>
        <w:tc>
          <w:tcPr>
            <w:tcW w:w="6378" w:type="dxa"/>
          </w:tcPr>
          <w:p w14:paraId="35ADE3CA" w14:textId="4FBF78B6" w:rsidR="002A00FA" w:rsidRPr="0028297A" w:rsidRDefault="002A00FA" w:rsidP="007426AF">
            <w:pPr>
              <w:pStyle w:val="Sinespaciado"/>
              <w:rPr>
                <w:rFonts w:ascii="Arial" w:hAnsi="Arial" w:cs="Arial"/>
                <w:lang w:val="es-ES_tradnl"/>
              </w:rPr>
            </w:pPr>
            <w:r w:rsidRPr="0028297A">
              <w:rPr>
                <w:rFonts w:ascii="Arial" w:hAnsi="Arial" w:cs="Arial"/>
                <w:lang w:val="es-ES_tradnl"/>
              </w:rPr>
              <w:t>CONTRATACI</w:t>
            </w:r>
            <w:r w:rsidR="00B565AF" w:rsidRPr="0028297A">
              <w:rPr>
                <w:rFonts w:ascii="Arial" w:hAnsi="Arial" w:cs="Arial"/>
                <w:lang w:val="es-ES_tradnl"/>
              </w:rPr>
              <w:t>Ó</w:t>
            </w:r>
            <w:r w:rsidRPr="0028297A">
              <w:rPr>
                <w:rFonts w:ascii="Arial" w:hAnsi="Arial" w:cs="Arial"/>
                <w:lang w:val="es-ES_tradnl"/>
              </w:rPr>
              <w:t>N DIRECTA</w:t>
            </w:r>
          </w:p>
        </w:tc>
      </w:tr>
      <w:tr w:rsidR="002A00FA" w:rsidRPr="0028297A" w14:paraId="5DBF2E66" w14:textId="77777777" w:rsidTr="00563B96">
        <w:tc>
          <w:tcPr>
            <w:tcW w:w="2978" w:type="dxa"/>
            <w:vMerge/>
            <w:shd w:val="clear" w:color="auto" w:fill="B8CCE4" w:themeFill="accent1" w:themeFillTint="66"/>
          </w:tcPr>
          <w:p w14:paraId="433E5CF7" w14:textId="77777777" w:rsidR="002A00FA" w:rsidRPr="0028297A" w:rsidRDefault="002A00FA" w:rsidP="007426AF">
            <w:pPr>
              <w:rPr>
                <w:rFonts w:ascii="Arial" w:hAnsi="Arial" w:cs="Arial"/>
                <w:b/>
                <w:sz w:val="22"/>
                <w:szCs w:val="22"/>
              </w:rPr>
            </w:pPr>
          </w:p>
        </w:tc>
        <w:tc>
          <w:tcPr>
            <w:tcW w:w="6378" w:type="dxa"/>
          </w:tcPr>
          <w:p w14:paraId="4A814EF7" w14:textId="77777777" w:rsidR="002A00FA" w:rsidRPr="0028297A" w:rsidRDefault="002A00FA" w:rsidP="007426AF">
            <w:pPr>
              <w:pStyle w:val="Sinespaciado"/>
              <w:rPr>
                <w:rFonts w:ascii="Arial" w:hAnsi="Arial" w:cs="Arial"/>
                <w:b/>
                <w:lang w:val="es-ES_tradnl"/>
              </w:rPr>
            </w:pPr>
            <w:r w:rsidRPr="0028297A">
              <w:rPr>
                <w:rFonts w:ascii="Arial" w:hAnsi="Arial" w:cs="Arial"/>
                <w:b/>
                <w:lang w:val="es-ES_tradnl"/>
              </w:rPr>
              <w:t>PRESUPUESTO OFICIAL</w:t>
            </w:r>
          </w:p>
        </w:tc>
      </w:tr>
      <w:tr w:rsidR="002A00FA" w:rsidRPr="0028297A" w14:paraId="00F7AF77" w14:textId="77777777" w:rsidTr="00563B96">
        <w:tc>
          <w:tcPr>
            <w:tcW w:w="2978" w:type="dxa"/>
            <w:vMerge/>
            <w:shd w:val="clear" w:color="auto" w:fill="B8CCE4" w:themeFill="accent1" w:themeFillTint="66"/>
          </w:tcPr>
          <w:p w14:paraId="0A63E2A3" w14:textId="77777777" w:rsidR="002A00FA" w:rsidRPr="0028297A" w:rsidRDefault="002A00FA" w:rsidP="007426AF">
            <w:pPr>
              <w:rPr>
                <w:rFonts w:ascii="Arial" w:hAnsi="Arial" w:cs="Arial"/>
                <w:b/>
                <w:sz w:val="22"/>
                <w:szCs w:val="22"/>
              </w:rPr>
            </w:pPr>
          </w:p>
        </w:tc>
        <w:tc>
          <w:tcPr>
            <w:tcW w:w="6378" w:type="dxa"/>
            <w:shd w:val="clear" w:color="auto" w:fill="auto"/>
          </w:tcPr>
          <w:p w14:paraId="34FA4A0D" w14:textId="52907028" w:rsidR="002A00FA" w:rsidRPr="0028297A" w:rsidRDefault="007D3EE4" w:rsidP="006A23F4">
            <w:pPr>
              <w:pStyle w:val="Sinespaciado"/>
              <w:jc w:val="both"/>
              <w:rPr>
                <w:rFonts w:ascii="Arial" w:hAnsi="Arial" w:cs="Arial"/>
                <w:lang w:val="es-ES_tradnl"/>
              </w:rPr>
            </w:pPr>
            <w:r>
              <w:rPr>
                <w:rFonts w:ascii="Arial" w:hAnsi="Arial" w:cs="Arial"/>
                <w:highlight w:val="yellow"/>
              </w:rPr>
              <w:t>XXXXXXXXXXXXXXXXXXX</w:t>
            </w:r>
            <w:r w:rsidR="00123648" w:rsidRPr="009E18B3">
              <w:rPr>
                <w:rFonts w:ascii="Arial" w:hAnsi="Arial" w:cs="Arial"/>
                <w:highlight w:val="yellow"/>
              </w:rPr>
              <w:t>($</w:t>
            </w:r>
            <w:r>
              <w:rPr>
                <w:rFonts w:ascii="Arial" w:hAnsi="Arial" w:cs="Arial"/>
                <w:highlight w:val="yellow"/>
              </w:rPr>
              <w:t>XXXXXXXXXX</w:t>
            </w:r>
            <w:r w:rsidR="00123648" w:rsidRPr="009E18B3">
              <w:rPr>
                <w:rFonts w:ascii="Arial" w:hAnsi="Arial" w:cs="Arial"/>
                <w:highlight w:val="yellow"/>
              </w:rPr>
              <w:t>)</w:t>
            </w:r>
            <w:r w:rsidR="00B565AF" w:rsidRPr="009E18B3">
              <w:rPr>
                <w:rFonts w:ascii="Arial" w:hAnsi="Arial" w:cs="Arial"/>
                <w:highlight w:val="yellow"/>
              </w:rPr>
              <w:t xml:space="preserve"> M/CTE</w:t>
            </w:r>
            <w:r w:rsidR="00123648" w:rsidRPr="009E18B3">
              <w:rPr>
                <w:rFonts w:ascii="Arial" w:hAnsi="Arial" w:cs="Arial"/>
                <w:highlight w:val="yellow"/>
              </w:rPr>
              <w:t>.</w:t>
            </w:r>
          </w:p>
        </w:tc>
      </w:tr>
      <w:tr w:rsidR="002A00FA" w:rsidRPr="0028297A" w14:paraId="7D07A6E6" w14:textId="77777777" w:rsidTr="00563B96">
        <w:trPr>
          <w:trHeight w:val="452"/>
        </w:trPr>
        <w:tc>
          <w:tcPr>
            <w:tcW w:w="9356" w:type="dxa"/>
            <w:gridSpan w:val="2"/>
            <w:vAlign w:val="center"/>
          </w:tcPr>
          <w:p w14:paraId="23A7F250" w14:textId="66E4E592" w:rsidR="002A00FA" w:rsidRPr="0028297A" w:rsidRDefault="002A00FA" w:rsidP="00D54824">
            <w:pPr>
              <w:ind w:left="708" w:hanging="708"/>
              <w:jc w:val="center"/>
              <w:rPr>
                <w:rFonts w:ascii="Arial" w:hAnsi="Arial" w:cs="Arial"/>
                <w:b/>
                <w:sz w:val="22"/>
                <w:szCs w:val="22"/>
              </w:rPr>
            </w:pPr>
            <w:r w:rsidRPr="0028297A">
              <w:rPr>
                <w:rFonts w:ascii="Arial" w:hAnsi="Arial" w:cs="Arial"/>
                <w:b/>
                <w:sz w:val="22"/>
                <w:szCs w:val="22"/>
              </w:rPr>
              <w:t xml:space="preserve">ESTUDIO PREVIO PARA CELEBRAR UN CONTRATO DE PRESTACIÓN DE SERVICIOS </w:t>
            </w:r>
            <w:r w:rsidR="006C0E0D">
              <w:rPr>
                <w:rFonts w:ascii="Arial" w:hAnsi="Arial" w:cs="Arial"/>
                <w:b/>
                <w:sz w:val="22"/>
                <w:szCs w:val="22"/>
              </w:rPr>
              <w:t>DE APOYO A LA GESTIÓN</w:t>
            </w:r>
          </w:p>
        </w:tc>
      </w:tr>
      <w:tr w:rsidR="002A00FA" w:rsidRPr="0028297A" w14:paraId="7CE83922" w14:textId="77777777" w:rsidTr="00563B96">
        <w:trPr>
          <w:trHeight w:val="106"/>
        </w:trPr>
        <w:tc>
          <w:tcPr>
            <w:tcW w:w="9356" w:type="dxa"/>
            <w:gridSpan w:val="2"/>
            <w:shd w:val="clear" w:color="auto" w:fill="B8CCE4" w:themeFill="accent1" w:themeFillTint="66"/>
          </w:tcPr>
          <w:p w14:paraId="2FFFA1A0" w14:textId="1B3EC0D1" w:rsidR="002A00FA" w:rsidRPr="0028297A" w:rsidRDefault="002A00FA" w:rsidP="007426AF">
            <w:pPr>
              <w:pStyle w:val="Sinespaciado"/>
              <w:jc w:val="center"/>
              <w:rPr>
                <w:rFonts w:ascii="Arial" w:hAnsi="Arial" w:cs="Arial"/>
                <w:b/>
                <w:bCs/>
                <w:lang w:val="es-ES_tradnl"/>
              </w:rPr>
            </w:pPr>
            <w:r w:rsidRPr="0028297A">
              <w:rPr>
                <w:rFonts w:ascii="Arial" w:hAnsi="Arial" w:cs="Arial"/>
                <w:b/>
                <w:bCs/>
                <w:lang w:val="es-ES_tradnl"/>
              </w:rPr>
              <w:t>FUNDAMENTO NORMATIVO ESTUDIO PREVIO</w:t>
            </w:r>
          </w:p>
        </w:tc>
      </w:tr>
      <w:tr w:rsidR="002A00FA" w:rsidRPr="0028297A" w14:paraId="7CC12804" w14:textId="77777777" w:rsidTr="00563B96">
        <w:tc>
          <w:tcPr>
            <w:tcW w:w="9356" w:type="dxa"/>
            <w:gridSpan w:val="2"/>
          </w:tcPr>
          <w:p w14:paraId="2BD3F094" w14:textId="4F5C9203" w:rsidR="002A00FA" w:rsidRPr="0028297A" w:rsidRDefault="002A00FA" w:rsidP="007426AF">
            <w:pPr>
              <w:jc w:val="both"/>
              <w:rPr>
                <w:rFonts w:ascii="Arial" w:hAnsi="Arial" w:cs="Arial"/>
                <w:sz w:val="22"/>
                <w:szCs w:val="22"/>
              </w:rPr>
            </w:pPr>
            <w:r w:rsidRPr="0028297A">
              <w:rPr>
                <w:rFonts w:ascii="Arial" w:hAnsi="Arial" w:cs="Arial"/>
                <w:bCs/>
                <w:sz w:val="22"/>
                <w:szCs w:val="22"/>
              </w:rPr>
              <w:t xml:space="preserve">De conformidad con lo previsto en el </w:t>
            </w:r>
            <w:r w:rsidR="007663E3" w:rsidRPr="0028297A">
              <w:rPr>
                <w:rFonts w:ascii="Arial" w:hAnsi="Arial" w:cs="Arial"/>
                <w:bCs/>
                <w:sz w:val="22"/>
                <w:szCs w:val="22"/>
              </w:rPr>
              <w:t>a</w:t>
            </w:r>
            <w:r w:rsidRPr="0028297A">
              <w:rPr>
                <w:rFonts w:ascii="Arial" w:hAnsi="Arial" w:cs="Arial"/>
                <w:bCs/>
                <w:sz w:val="22"/>
                <w:szCs w:val="22"/>
              </w:rPr>
              <w:t>rtículo 2.2.1.1.2.1.1 del Decreto 1082</w:t>
            </w:r>
            <w:r w:rsidRPr="0028297A">
              <w:rPr>
                <w:rStyle w:val="Refdenotaalpie"/>
                <w:rFonts w:ascii="Arial" w:hAnsi="Arial" w:cs="Arial"/>
                <w:sz w:val="22"/>
                <w:szCs w:val="22"/>
              </w:rPr>
              <w:footnoteReference w:id="1"/>
            </w:r>
            <w:r w:rsidRPr="0028297A">
              <w:rPr>
                <w:rFonts w:ascii="Arial" w:hAnsi="Arial" w:cs="Arial"/>
                <w:bCs/>
                <w:sz w:val="22"/>
                <w:szCs w:val="22"/>
              </w:rPr>
              <w:t xml:space="preserve"> de 2015, la EMPRESA DE</w:t>
            </w:r>
            <w:r w:rsidR="00AC7671" w:rsidRPr="0028297A">
              <w:rPr>
                <w:rFonts w:ascii="Arial" w:hAnsi="Arial" w:cs="Arial"/>
                <w:bCs/>
                <w:sz w:val="22"/>
                <w:szCs w:val="22"/>
              </w:rPr>
              <w:t>PARTAMENTAL DE</w:t>
            </w:r>
            <w:r w:rsidRPr="0028297A">
              <w:rPr>
                <w:rFonts w:ascii="Arial" w:hAnsi="Arial" w:cs="Arial"/>
                <w:bCs/>
                <w:sz w:val="22"/>
                <w:szCs w:val="22"/>
              </w:rPr>
              <w:t xml:space="preserve"> ACUEDUCTO, ALCANTARILLADO Y ASEO DEL TOLIMA EDAT S.A E.S.P</w:t>
            </w:r>
            <w:r w:rsidR="00E01578" w:rsidRPr="0028297A">
              <w:rPr>
                <w:rFonts w:ascii="Arial" w:hAnsi="Arial" w:cs="Arial"/>
                <w:bCs/>
                <w:sz w:val="22"/>
                <w:szCs w:val="22"/>
              </w:rPr>
              <w:t>.</w:t>
            </w:r>
            <w:r w:rsidRPr="0028297A">
              <w:rPr>
                <w:rFonts w:ascii="Arial" w:hAnsi="Arial" w:cs="Arial"/>
                <w:bCs/>
                <w:sz w:val="22"/>
                <w:szCs w:val="22"/>
              </w:rPr>
              <w:t xml:space="preserve"> OFICIAL procede a efectuar el estudio correspondiente</w:t>
            </w:r>
            <w:r w:rsidRPr="0028297A">
              <w:rPr>
                <w:rFonts w:ascii="Arial" w:hAnsi="Arial" w:cs="Arial"/>
                <w:sz w:val="22"/>
                <w:szCs w:val="22"/>
              </w:rPr>
              <w:t xml:space="preserve">.  </w:t>
            </w:r>
          </w:p>
        </w:tc>
      </w:tr>
      <w:tr w:rsidR="002A00FA" w:rsidRPr="0028297A" w14:paraId="7A2FE845" w14:textId="77777777" w:rsidTr="00563B96">
        <w:tc>
          <w:tcPr>
            <w:tcW w:w="9356" w:type="dxa"/>
            <w:gridSpan w:val="2"/>
            <w:shd w:val="clear" w:color="auto" w:fill="B8CCE4" w:themeFill="accent1" w:themeFillTint="66"/>
          </w:tcPr>
          <w:p w14:paraId="2429FF32" w14:textId="4A572464" w:rsidR="002A00FA" w:rsidRPr="0028297A" w:rsidRDefault="002A00FA" w:rsidP="007426AF">
            <w:pPr>
              <w:jc w:val="center"/>
              <w:rPr>
                <w:rFonts w:ascii="Arial" w:hAnsi="Arial" w:cs="Arial"/>
                <w:b/>
                <w:bCs/>
                <w:sz w:val="22"/>
                <w:szCs w:val="22"/>
              </w:rPr>
            </w:pPr>
            <w:r w:rsidRPr="0028297A">
              <w:rPr>
                <w:rFonts w:ascii="Arial" w:hAnsi="Arial" w:cs="Arial"/>
                <w:b/>
                <w:bCs/>
                <w:sz w:val="22"/>
                <w:szCs w:val="22"/>
              </w:rPr>
              <w:t>DESCRIPCI</w:t>
            </w:r>
            <w:r w:rsidR="005F2FB3" w:rsidRPr="0028297A">
              <w:rPr>
                <w:rFonts w:ascii="Arial" w:hAnsi="Arial" w:cs="Arial"/>
                <w:b/>
                <w:bCs/>
                <w:sz w:val="22"/>
                <w:szCs w:val="22"/>
              </w:rPr>
              <w:t>Ó</w:t>
            </w:r>
            <w:r w:rsidRPr="0028297A">
              <w:rPr>
                <w:rFonts w:ascii="Arial" w:hAnsi="Arial" w:cs="Arial"/>
                <w:b/>
                <w:bCs/>
                <w:sz w:val="22"/>
                <w:szCs w:val="22"/>
              </w:rPr>
              <w:t>N DE LA NECESIDAD</w:t>
            </w:r>
          </w:p>
        </w:tc>
      </w:tr>
      <w:tr w:rsidR="002A00FA" w:rsidRPr="0028297A" w14:paraId="6FF29B69" w14:textId="77777777" w:rsidTr="00563B96">
        <w:tc>
          <w:tcPr>
            <w:tcW w:w="9356" w:type="dxa"/>
            <w:gridSpan w:val="2"/>
          </w:tcPr>
          <w:p w14:paraId="274A125D" w14:textId="43E8C1BB" w:rsidR="00B17314" w:rsidRPr="0028297A" w:rsidRDefault="00CD6AB7" w:rsidP="007426AF">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lang w:val="es-CO"/>
              </w:rPr>
              <w:t xml:space="preserve">Que de acuerdo </w:t>
            </w:r>
            <w:r w:rsidR="00AB00CC" w:rsidRPr="0028297A">
              <w:rPr>
                <w:rFonts w:ascii="Arial" w:eastAsia="Calibri" w:hAnsi="Arial" w:cs="Arial"/>
                <w:sz w:val="22"/>
                <w:szCs w:val="22"/>
                <w:lang w:val="es-CO"/>
              </w:rPr>
              <w:t>con</w:t>
            </w:r>
            <w:r w:rsidRPr="0028297A">
              <w:rPr>
                <w:rFonts w:ascii="Arial" w:eastAsia="Calibri" w:hAnsi="Arial" w:cs="Arial"/>
                <w:sz w:val="22"/>
                <w:szCs w:val="22"/>
                <w:lang w:val="es-CO"/>
              </w:rPr>
              <w:t xml:space="preserve"> lo</w:t>
            </w:r>
            <w:r w:rsidR="007663E3" w:rsidRPr="0028297A">
              <w:rPr>
                <w:rFonts w:ascii="Arial" w:eastAsia="Calibri" w:hAnsi="Arial" w:cs="Arial"/>
                <w:sz w:val="22"/>
                <w:szCs w:val="22"/>
                <w:lang w:val="es-ES"/>
              </w:rPr>
              <w:t xml:space="preserve"> señalado en el Decreto 1425 de 2019, del Ministerio de Vivienda, Ciudad y Territorio, por el cual se ajustan los Planes Departamentales para el Manejo Empresarial de los Servicios de Agua y Saneamiento a partir del análisis de sus avances y desarrollo, así mismo, atendiendo a las necesidades propias y teniendo en cuenta las capacidades institucionales de cada región, se define el PDA como un conjunto de estrategias de planeación y coordinación interinstitucional, formuladas y ejecutadas con el objeto de lograr armonización integral de los recursos y la implementación de esquemas eficientes y sostenibles que garanticen el acceso a agua potable y saneamiento básico. </w:t>
            </w:r>
          </w:p>
          <w:p w14:paraId="622569F2" w14:textId="77777777" w:rsidR="00B17314" w:rsidRPr="0028297A" w:rsidRDefault="00B17314" w:rsidP="007426AF">
            <w:pPr>
              <w:autoSpaceDE w:val="0"/>
              <w:autoSpaceDN w:val="0"/>
              <w:adjustRightInd w:val="0"/>
              <w:jc w:val="both"/>
              <w:rPr>
                <w:rFonts w:ascii="Arial" w:eastAsia="Calibri" w:hAnsi="Arial" w:cs="Arial"/>
                <w:sz w:val="22"/>
                <w:szCs w:val="22"/>
                <w:lang w:val="es-ES"/>
              </w:rPr>
            </w:pPr>
          </w:p>
          <w:p w14:paraId="12A2F879" w14:textId="77777777" w:rsidR="00AB00CC" w:rsidRPr="0028297A" w:rsidRDefault="00AB00CC" w:rsidP="00AB00CC">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lang w:val="es-ES"/>
              </w:rPr>
              <w:t>Que el artículo 2.3.3.1.2.1 del Decreto en mención, señaló las Estructuras operativas, que hacen parte de los PDA, esto es: 1) El Gestor. 2) Comité Directivo.</w:t>
            </w:r>
          </w:p>
          <w:p w14:paraId="1122E3C5" w14:textId="77777777" w:rsidR="00AB00CC" w:rsidRPr="0028297A" w:rsidRDefault="00AB00CC" w:rsidP="00AB00CC">
            <w:pPr>
              <w:autoSpaceDE w:val="0"/>
              <w:autoSpaceDN w:val="0"/>
              <w:adjustRightInd w:val="0"/>
              <w:jc w:val="both"/>
              <w:rPr>
                <w:rFonts w:ascii="Arial" w:eastAsia="Calibri" w:hAnsi="Arial" w:cs="Arial"/>
                <w:sz w:val="22"/>
                <w:szCs w:val="22"/>
                <w:lang w:val="es-ES"/>
              </w:rPr>
            </w:pPr>
          </w:p>
          <w:p w14:paraId="35FFF179" w14:textId="52E19021" w:rsidR="007663E3" w:rsidRPr="0028297A" w:rsidRDefault="00AB00CC" w:rsidP="00AB00CC">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lang w:val="es-ES"/>
              </w:rPr>
              <w:t xml:space="preserve">Que para la gestión, implementación y seguimiento a la ejecución de los Planes Departamentales para el Manejo Empresarial de los Servicios de Agua y Saneamiento PDA, debe contarse con el Gestor y para el caso del Departamento del Tolima se encuentra en cabeza de la Empresa Departamental de Acueducto, Alcantarillado y Aseo del Tolima, EDAT </w:t>
            </w:r>
            <w:r w:rsidRPr="0028297A">
              <w:rPr>
                <w:rFonts w:ascii="Arial" w:eastAsia="Calibri" w:hAnsi="Arial" w:cs="Arial"/>
                <w:sz w:val="22"/>
                <w:szCs w:val="22"/>
                <w:lang w:val="es-ES"/>
              </w:rPr>
              <w:lastRenderedPageBreak/>
              <w:t>S.A. E.S.P Oficial, la cual tiene entre otras funciones según el artículo 2.3.3.1.2.3 del mencionado Decreto 1425 de 2019:</w:t>
            </w:r>
            <w:r w:rsidRPr="0028297A">
              <w:rPr>
                <w:rFonts w:ascii="Arial" w:eastAsia="Calibri" w:hAnsi="Arial" w:cs="Arial"/>
                <w:i/>
                <w:sz w:val="22"/>
                <w:szCs w:val="22"/>
              </w:rPr>
              <w:t xml:space="preserve"> </w:t>
            </w:r>
            <w:r w:rsidR="007663E3" w:rsidRPr="0028297A">
              <w:rPr>
                <w:rFonts w:ascii="Arial" w:eastAsia="Calibri" w:hAnsi="Arial" w:cs="Arial"/>
                <w:i/>
                <w:sz w:val="22"/>
                <w:szCs w:val="22"/>
              </w:rPr>
              <w:t>“(…) 1. Desarrollar las acciones necesarias para alcanzar el cumplimiento de los objetivos de la pol</w:t>
            </w:r>
            <w:r w:rsidR="007E3239" w:rsidRPr="0028297A">
              <w:rPr>
                <w:rFonts w:ascii="Arial" w:eastAsia="Calibri" w:hAnsi="Arial" w:cs="Arial"/>
                <w:i/>
                <w:sz w:val="22"/>
                <w:szCs w:val="22"/>
              </w:rPr>
              <w:t>ítica</w:t>
            </w:r>
            <w:r w:rsidR="007663E3" w:rsidRPr="0028297A">
              <w:rPr>
                <w:rFonts w:ascii="Arial" w:eastAsia="Calibri" w:hAnsi="Arial" w:cs="Arial"/>
                <w:i/>
                <w:sz w:val="22"/>
                <w:szCs w:val="22"/>
              </w:rPr>
              <w:t xml:space="preserve"> del sector de agua potable y saneamiento básico, la observación de los principios y el cumplimiento de los objetivos y las metas de los ´Planes Departamentales para el Manejo Empresarial de los Servicios de Agua y Saneamiento Básico PDA. 2. Gestionar a nivel departamental los asuntos relacionados con el sector de agua potable y saneamiento básico; como representante del Gobernador cuando el departamento lo requiera, así como, prestar asistencia a los municipios y distritos del departamento, vinculados a los Planes Departamentales para el Manejo Empresarial de los Servicios de Agua y Saneamiento (PDA), en los temas relacionados con el acceso sostenible a agua potable y saneamiento básico en la zona urbana y rural. 3. Coordinar las acciones de los participantes de los Planes Departamentales para el Manejo Empresarial de los Servicios de Agua y Saneamiento (PDA) y adelantar, junto con el Gobernador del respectivo departamento, el proceso de vinculación de los municipios y distritos, autoridades ambientales y demás participantes de los Planes Departamentales para el Manejo Empresarial de los Servicios de Agua y Saneamiento (PDA). 4. Ejercer la Secretaría técnica del Comité Directivo del que trata el artículo 2.3.3.1.2.4 del presente capítulo y en tal condición convocar con anticipación a las sesiones de los Comités, elaborar actas de cada una de las sesiones de los mismos y custodiar y mantener el archivo de dichas actas. De igual forma, deberá preparar y recopilar la totalidad de los documentos que se requieran para las sesiones y remitirlos con la debida antelación a los integrantes del Comité. 5. Elaborar y concertar con el departamento las propuestas de los instrumentos de planeación y sus modificaciones, soportadas técnica, económica y legalmente, para ser presentados al Comité Directivo del que trata el artículo 2.3.2.1.2.4 del presente capítulo. 6. Ejecutar todas las acciones necesarias para dar cumplimiento al contenido de los instrumentos de planeación aprobados por el Comité Directivo del que trata el artículo 2.3.3.1.2.4 del presente capítulo, acatar las instrucciones dadas por el Comité y tomar las medidas necesarias para su cumplimiento. 7. Promover, estructurar y adelantar las acciones necesarias para apoyar a los municipios y distritos en su competencia de asegurar la prestación de los servicios de agua potable y saneamiento básico, entre otras. 7.1. La</w:t>
            </w:r>
            <w:r w:rsidR="00E01578" w:rsidRPr="0028297A">
              <w:rPr>
                <w:rFonts w:ascii="Arial" w:eastAsia="Calibri" w:hAnsi="Arial" w:cs="Arial"/>
                <w:i/>
                <w:sz w:val="22"/>
                <w:szCs w:val="22"/>
              </w:rPr>
              <w:t xml:space="preserve"> </w:t>
            </w:r>
            <w:r w:rsidR="007663E3" w:rsidRPr="0028297A">
              <w:rPr>
                <w:rFonts w:ascii="Arial" w:eastAsia="Calibri" w:hAnsi="Arial" w:cs="Arial"/>
                <w:i/>
                <w:sz w:val="22"/>
                <w:szCs w:val="22"/>
              </w:rPr>
              <w:t xml:space="preserve">asistencia administrativa, financiera, comercial, técnica, operativa, social y jurídica para la implementación por pate de los municipios y distritos de los esquemas que permitan el aseguramiento en la prestación de los servicios en un municipio o grupo de municipios o distritos del departamento, de acuerdo con lo aprobado por el Comité Directivo de que trata el artículo 2.3.1.2.4 del presente capitulo. 7.2. Informar por escrito a la Superintendencia de Servicios Públicos Domiciliarios, los resultados de los planes de aseguramiento una vez finalice la ejecución de cada fase. 7.3. Apoyar al departamento en su tarea de promover y adelantar, las gestiones necesarias para que los prestadores de los servicios públicos de acueducto, alcantarillado y aseo que operan en los municipios o distritos vinculados a los Planes Departamentales para el Manejo Empresarial de los Servicios de Agua y Saneamiento (PDA), reporten la información al Sistema Único de Información (SUI), o el que haga sus veces, con la oportunidad y calidad que establezca la Superintendencia de Servicios Públicos </w:t>
            </w:r>
            <w:r w:rsidR="007663E3" w:rsidRPr="0028297A">
              <w:rPr>
                <w:rFonts w:ascii="Arial" w:eastAsia="Calibri" w:hAnsi="Arial" w:cs="Arial"/>
                <w:i/>
                <w:sz w:val="22"/>
                <w:szCs w:val="22"/>
              </w:rPr>
              <w:lastRenderedPageBreak/>
              <w:t xml:space="preserve">Domiciliarios, así como también a los demás sistemas de información que se implementen. 7.4. Asistir a las entidades territoriales en la implementación de la estrategia de monitoreo, seguimiento y control establecida en el Decreto Ley 028 de 2008 o la norma que lo modifique, complemente o sustituya y apoyar a los departamentos en lo dispuesto en la Ley 1977 de 2019. 8. Dar las instrucciones necesarias al instrumento para el manejo de recursos, en los eventos en que haya sido delegado y en los términos y condiciones previstos en el respectivo contrato, para que realice los pagos necesarios para la ejecución de los Planes Departamentales para el Manejo Empresarial de los Servicios de Agua y Saneamiento (PDA). 9. Gestionar e implementar directamente o en conjunto con los participantes, alternativas de financiación de los Planes Departamentales para el Manejo Empresarial de los Servicios de Agua y Saneamiento (PDA). 10. En concordancia con la naturaleza jurídica de los instrumentos de financiación, estructurar e implementar instrumentos financieros para el apalancamiento de recursos, o gestionar y tomar créditos para la ejecución e implementación de los Planes Departamentales para el Manejo Empresarial de los Servicios de Agua y Saneamiento (PDA) con cargo a los recursos comprometidos por los participantes. 11. Apoyar al departamento en la planeación y priorización de inversiones del sector agua potable y saneamiento básico, realizar la estructuración y presentación de los proyectos a través de los mecanismos de </w:t>
            </w:r>
            <w:proofErr w:type="spellStart"/>
            <w:r w:rsidR="007663E3" w:rsidRPr="0028297A">
              <w:rPr>
                <w:rFonts w:ascii="Arial" w:eastAsia="Calibri" w:hAnsi="Arial" w:cs="Arial"/>
                <w:i/>
                <w:sz w:val="22"/>
                <w:szCs w:val="22"/>
              </w:rPr>
              <w:t>viabilización</w:t>
            </w:r>
            <w:proofErr w:type="spellEnd"/>
            <w:r w:rsidR="007663E3" w:rsidRPr="0028297A">
              <w:rPr>
                <w:rFonts w:ascii="Arial" w:eastAsia="Calibri" w:hAnsi="Arial" w:cs="Arial"/>
                <w:i/>
                <w:sz w:val="22"/>
                <w:szCs w:val="22"/>
              </w:rPr>
              <w:t xml:space="preserve">, así como las correcciones o modificaciones necesarias de los mismos. No obstante lo anterior, los municipios y distritos podrán presentar los proyectos ante el mecanismo nacional o departamental de </w:t>
            </w:r>
            <w:proofErr w:type="spellStart"/>
            <w:r w:rsidR="007663E3" w:rsidRPr="0028297A">
              <w:rPr>
                <w:rFonts w:ascii="Arial" w:eastAsia="Calibri" w:hAnsi="Arial" w:cs="Arial"/>
                <w:i/>
                <w:sz w:val="22"/>
                <w:szCs w:val="22"/>
              </w:rPr>
              <w:t>viabilización</w:t>
            </w:r>
            <w:proofErr w:type="spellEnd"/>
            <w:r w:rsidR="007663E3" w:rsidRPr="0028297A">
              <w:rPr>
                <w:rFonts w:ascii="Arial" w:eastAsia="Calibri" w:hAnsi="Arial" w:cs="Arial"/>
                <w:i/>
                <w:sz w:val="22"/>
                <w:szCs w:val="22"/>
              </w:rPr>
              <w:t xml:space="preserve"> de proyectos. 12. Adelantar procesos de contratación con cargo a los recursos de los Planes Departamentales para el Manejo Empresarial de los Servicios de Agua y Saneamiento (PDA) una vez los proyectos hayan sido viabilizados cuando aplique, de acuerdo con lo previsto en el presente capítulo, el Manual operativo señalado en el artículo 2.3.3.1.5.2., el Plan Estratégico de inversiones señalado en el artículo 2.3.3.1.5.3 y el Plan de Aseguramiento de la Prestación de los Servicios 2.3.3.1.5.4, velando por la pluralidad de oferentes y la publicidad de dichos procesos y de acuerdo con la normatividad contractual aplicable. 13. Preparar, convocar y desarrollar audiencias públicas de rendición de cuentas para el seguimiento a los avances de los Planes Departamentales para el Manejo Empresarial de los Servicios de Agua y Saneamiento (PDA), así como suministrar la información requerida por los órganos de control. 14. Remitir informes al Comité Directivo y al Ministerio de Vivienda, Ciudad y Territorio, sobre la ejecución de los instrumentos de planeación así: 14.1 Informe sobre el estado y avance del aseguramiento de la prestación de los servicios de agua potable y saneamiento básico de cada uno de los municipios y distritos que conforman el Plan Departamental para el Manejo Empresarial de los Servicios de Agua y Saneamiento de su jurisdicción, con la metodología y periodicidad que establezca el Ministerio de Vivienda, Ciudad y Territorio. 14.2. Informe bimestral de la ejecución y seguimiento del Plan Departamental para el Manejo Empresarial de los Servicios de Agua y Saneamiento y de sus instrumentos de planeación, de acuerdo con el formato y medios que el Ministerio de Vivienda, Ciudad y Territorio determine para tal fin. En el informe también se señalará el avance del Plan Estratégico de inversiones, detallando el cumplimiento de los cronogramas allí fijados, las metas propuestas, el estado de avance de los proyectos en ejecución y de los procesos de </w:t>
            </w:r>
            <w:r w:rsidR="007663E3" w:rsidRPr="0028297A">
              <w:rPr>
                <w:rFonts w:ascii="Arial" w:eastAsia="Calibri" w:hAnsi="Arial" w:cs="Arial"/>
                <w:i/>
                <w:sz w:val="22"/>
                <w:szCs w:val="22"/>
              </w:rPr>
              <w:lastRenderedPageBreak/>
              <w:t>contratación. 15. Reportar y mantener actualizado el diagnostico técnico base en el sistema de información que facilite el seguimiento a los Planes Departamentales para el Manejo Empresarial de los Servicios de Agua y Saneamiento (PDA), en los términos en que lo señale el Ministerio de Vivienda, Ciudad y Territorio y los indicadores para el sector de agua Potable y Saneamiento Básico, establecidos por el Gobierno Nacional. Asimismo, realizar el cargue de los instrumentos de planeación en el sistema de información que determine ese Ministerio. 16. Recopilar, consolidar y reportar la siguiente información: 16.1 Inversiones del sector de agua potable y saneamiento básico, en especial las que se ejecuten en el marco de los Planes Departamentales para el Manejo Empresarial de los Servicios de Agua y Saneamiento (PDA) para efectos de planeación y con el apoyo de las entidades territoriales. 16.2. La que solicite el Departamento Nacional de Planeación (DNP) para la elaboración del índice para la medición de la capacidad institucional y de resultados de los Planes Departamentales para el Manejo Empresarial de los Servicios de Agua y Saneamiento (PDA) a que hace referencia la Sección 6 del presente capitulo. 17. Las demás que, de acuerdo con su naturaleza jurídica, le estén autorizadas por la normativa vigente (…</w:t>
            </w:r>
            <w:r w:rsidR="00B17314" w:rsidRPr="0028297A">
              <w:rPr>
                <w:rFonts w:ascii="Arial" w:eastAsia="Calibri" w:hAnsi="Arial" w:cs="Arial"/>
                <w:i/>
                <w:sz w:val="22"/>
                <w:szCs w:val="22"/>
              </w:rPr>
              <w:t>)”</w:t>
            </w:r>
            <w:r w:rsidR="007663E3" w:rsidRPr="0028297A">
              <w:rPr>
                <w:rFonts w:ascii="Arial" w:eastAsia="Calibri" w:hAnsi="Arial" w:cs="Arial"/>
                <w:i/>
                <w:sz w:val="22"/>
                <w:szCs w:val="22"/>
              </w:rPr>
              <w:t>.</w:t>
            </w:r>
          </w:p>
          <w:p w14:paraId="5FECBA52" w14:textId="36DF6F3F" w:rsidR="002A00FA" w:rsidRPr="0028297A" w:rsidRDefault="002A00FA" w:rsidP="007426AF">
            <w:pPr>
              <w:autoSpaceDE w:val="0"/>
              <w:autoSpaceDN w:val="0"/>
              <w:adjustRightInd w:val="0"/>
              <w:ind w:right="72"/>
              <w:jc w:val="both"/>
              <w:rPr>
                <w:rFonts w:ascii="Arial" w:eastAsia="Calibri" w:hAnsi="Arial" w:cs="Arial"/>
                <w:sz w:val="22"/>
                <w:szCs w:val="22"/>
              </w:rPr>
            </w:pPr>
          </w:p>
          <w:p w14:paraId="2945DB40" w14:textId="77777777" w:rsidR="008D6E52" w:rsidRPr="0028297A" w:rsidRDefault="008D6E52" w:rsidP="007426AF">
            <w:pPr>
              <w:autoSpaceDE w:val="0"/>
              <w:autoSpaceDN w:val="0"/>
              <w:adjustRightInd w:val="0"/>
              <w:jc w:val="both"/>
              <w:rPr>
                <w:rFonts w:ascii="Arial" w:eastAsia="Calibri" w:hAnsi="Arial" w:cs="Arial"/>
                <w:sz w:val="22"/>
                <w:szCs w:val="22"/>
                <w:lang w:val="es-ES"/>
              </w:rPr>
            </w:pPr>
            <w:r w:rsidRPr="0028297A">
              <w:rPr>
                <w:rFonts w:ascii="Arial" w:eastAsia="Calibri" w:hAnsi="Arial" w:cs="Arial"/>
                <w:sz w:val="22"/>
                <w:szCs w:val="22"/>
              </w:rPr>
              <w:t>Que la estructura institucional del Sector de Agua Potable y Saneamiento Básico, se fundamenta en la formulación de la política, la regulación y el control, en cabeza del Gobierno Nacional y la responsabilidad de los municipios de asegurar la prestación eficiente de los servicios públicos; así como dentro del esquema institucional desarrollado para el Plan de Agua Potable y Saneamiento Básico del Tolima, se incluyen transformaciones que requiere el sector para contribuir al mejoramiento de la calidad de vida de toda la población del Departamento del Tolima.</w:t>
            </w:r>
          </w:p>
          <w:p w14:paraId="216F1E9D" w14:textId="32E193D8" w:rsidR="008D6E52" w:rsidRPr="0028297A" w:rsidRDefault="008D6E52" w:rsidP="007426AF">
            <w:pPr>
              <w:widowControl/>
              <w:jc w:val="both"/>
              <w:rPr>
                <w:rFonts w:ascii="Arial" w:hAnsi="Arial" w:cs="Arial"/>
                <w:sz w:val="22"/>
                <w:szCs w:val="22"/>
                <w:lang w:val="es-CO" w:eastAsia="es-CO"/>
              </w:rPr>
            </w:pPr>
          </w:p>
          <w:p w14:paraId="751D076E" w14:textId="454BFCF7" w:rsidR="008E0AAB" w:rsidRPr="0028297A" w:rsidRDefault="00634473" w:rsidP="00634473">
            <w:pPr>
              <w:widowControl/>
              <w:jc w:val="both"/>
              <w:rPr>
                <w:rFonts w:ascii="Arial" w:hAnsi="Arial" w:cs="Arial"/>
                <w:sz w:val="22"/>
                <w:szCs w:val="22"/>
                <w:lang w:val="es-CO"/>
              </w:rPr>
            </w:pPr>
            <w:r w:rsidRPr="0028297A">
              <w:rPr>
                <w:rFonts w:ascii="Arial" w:hAnsi="Arial" w:cs="Arial"/>
                <w:sz w:val="22"/>
                <w:szCs w:val="22"/>
                <w:lang w:val="es-CO"/>
              </w:rPr>
              <w:t xml:space="preserve">Que la EMPRESA DEPARTAMENTAL DE ACUEDUCTO, ALCANTARILLADO Y ASEO DE TOLIMA EDAT S.A E.S.P. </w:t>
            </w:r>
            <w:proofErr w:type="spellStart"/>
            <w:r w:rsidRPr="0028297A">
              <w:rPr>
                <w:rFonts w:ascii="Arial" w:hAnsi="Arial" w:cs="Arial"/>
                <w:sz w:val="22"/>
                <w:szCs w:val="22"/>
                <w:lang w:val="es-CO"/>
              </w:rPr>
              <w:t>Oficial,</w:t>
            </w:r>
            <w:r w:rsidR="007D3EE4">
              <w:rPr>
                <w:rFonts w:ascii="Arial" w:hAnsi="Arial" w:cs="Arial"/>
                <w:sz w:val="22"/>
                <w:szCs w:val="22"/>
                <w:lang w:val="es-CO"/>
              </w:rPr>
              <w:t>XXXXXXXXXXXXXXXXXXXXXXXXXXXXXXXXXXXXXXXXXXXXXXX</w:t>
            </w:r>
            <w:proofErr w:type="spellEnd"/>
            <w:r w:rsidR="008E0AAB" w:rsidRPr="0028297A">
              <w:rPr>
                <w:rFonts w:ascii="Arial" w:hAnsi="Arial" w:cs="Arial"/>
                <w:sz w:val="22"/>
                <w:szCs w:val="22"/>
                <w:lang w:val="es-CO"/>
              </w:rPr>
              <w:t xml:space="preserve">; </w:t>
            </w:r>
            <w:r w:rsidRPr="0028297A">
              <w:rPr>
                <w:rFonts w:ascii="Arial" w:hAnsi="Arial" w:cs="Arial"/>
                <w:sz w:val="22"/>
                <w:szCs w:val="22"/>
                <w:lang w:val="es-CO"/>
              </w:rPr>
              <w:t>que buscan la implementación de esquemas eficientes y sostenibles en la prestación de los servicios públicos domiciliarios de agua potable y saneamiento básico, a los cuales se debe realizar un debido seguimiento técnico y administrativo en la ejecución de</w:t>
            </w:r>
            <w:r w:rsidR="00DF3889" w:rsidRPr="0028297A">
              <w:rPr>
                <w:rFonts w:ascii="Arial" w:hAnsi="Arial" w:cs="Arial"/>
                <w:sz w:val="22"/>
                <w:szCs w:val="22"/>
                <w:lang w:val="es-CO"/>
              </w:rPr>
              <w:t xml:space="preserve"> estos. </w:t>
            </w:r>
            <w:r w:rsidRPr="0028297A">
              <w:rPr>
                <w:rFonts w:ascii="Arial" w:hAnsi="Arial" w:cs="Arial"/>
                <w:sz w:val="22"/>
                <w:szCs w:val="22"/>
                <w:lang w:val="es-CO"/>
              </w:rPr>
              <w:t xml:space="preserve"> </w:t>
            </w:r>
          </w:p>
          <w:p w14:paraId="70E4293D" w14:textId="77777777" w:rsidR="009E18B3" w:rsidRDefault="009E18B3" w:rsidP="00A00EDC">
            <w:pPr>
              <w:widowControl/>
              <w:jc w:val="both"/>
              <w:rPr>
                <w:rFonts w:ascii="Arial" w:hAnsi="Arial" w:cs="Arial"/>
                <w:sz w:val="22"/>
                <w:szCs w:val="22"/>
                <w:lang w:val="es-CO"/>
              </w:rPr>
            </w:pPr>
          </w:p>
          <w:p w14:paraId="34C7D2FA" w14:textId="78157ECA" w:rsidR="009E18B3" w:rsidRDefault="009E18B3" w:rsidP="009E18B3">
            <w:pPr>
              <w:widowControl/>
              <w:jc w:val="both"/>
              <w:rPr>
                <w:rFonts w:ascii="Arial" w:hAnsi="Arial" w:cs="Arial"/>
                <w:sz w:val="22"/>
                <w:szCs w:val="22"/>
                <w:lang w:val="es-CO"/>
              </w:rPr>
            </w:pPr>
            <w:r>
              <w:rPr>
                <w:rFonts w:ascii="Arial" w:hAnsi="Arial" w:cs="Arial"/>
                <w:sz w:val="22"/>
                <w:szCs w:val="22"/>
                <w:lang w:val="es-CO"/>
              </w:rPr>
              <w:t xml:space="preserve">Que </w:t>
            </w:r>
            <w:r w:rsidRPr="009E18B3">
              <w:rPr>
                <w:rFonts w:ascii="Arial" w:hAnsi="Arial" w:cs="Arial"/>
                <w:sz w:val="22"/>
                <w:szCs w:val="22"/>
                <w:lang w:val="es-CO"/>
              </w:rPr>
              <w:t>en consecuencia, se ha revisado la p</w:t>
            </w:r>
            <w:r>
              <w:rPr>
                <w:rFonts w:ascii="Arial" w:hAnsi="Arial" w:cs="Arial"/>
                <w:sz w:val="22"/>
                <w:szCs w:val="22"/>
                <w:lang w:val="es-CO"/>
              </w:rPr>
              <w:t xml:space="preserve">lanta de personal de la EMPRESA </w:t>
            </w:r>
            <w:r w:rsidRPr="009E18B3">
              <w:rPr>
                <w:rFonts w:ascii="Arial" w:hAnsi="Arial" w:cs="Arial"/>
                <w:sz w:val="22"/>
                <w:szCs w:val="22"/>
                <w:lang w:val="es-CO"/>
              </w:rPr>
              <w:t>DEPARTAMENTAL DE ACUEDUCTO ALCANTARILLADO Y ASEO DE TOLIM</w:t>
            </w:r>
            <w:r>
              <w:rPr>
                <w:rFonts w:ascii="Arial" w:hAnsi="Arial" w:cs="Arial"/>
                <w:sz w:val="22"/>
                <w:szCs w:val="22"/>
                <w:lang w:val="es-CO"/>
              </w:rPr>
              <w:t xml:space="preserve">A EDAT </w:t>
            </w:r>
            <w:r w:rsidRPr="009E18B3">
              <w:rPr>
                <w:rFonts w:ascii="Arial" w:hAnsi="Arial" w:cs="Arial"/>
                <w:sz w:val="22"/>
                <w:szCs w:val="22"/>
                <w:lang w:val="es-CO"/>
              </w:rPr>
              <w:t>S.A E.S.P. Oficial y dentro del estudio se evidencia la nec</w:t>
            </w:r>
            <w:r>
              <w:rPr>
                <w:rFonts w:ascii="Arial" w:hAnsi="Arial" w:cs="Arial"/>
                <w:sz w:val="22"/>
                <w:szCs w:val="22"/>
                <w:lang w:val="es-CO"/>
              </w:rPr>
              <w:t xml:space="preserve">esidad de contratar el personal </w:t>
            </w:r>
            <w:r w:rsidRPr="009E18B3">
              <w:rPr>
                <w:rFonts w:ascii="Arial" w:hAnsi="Arial" w:cs="Arial"/>
                <w:sz w:val="22"/>
                <w:szCs w:val="22"/>
                <w:lang w:val="es-CO"/>
              </w:rPr>
              <w:t xml:space="preserve">idóneo que fortalezca los procesos y actividades a cargo </w:t>
            </w:r>
            <w:r>
              <w:rPr>
                <w:rFonts w:ascii="Arial" w:hAnsi="Arial" w:cs="Arial"/>
                <w:sz w:val="22"/>
                <w:szCs w:val="22"/>
                <w:lang w:val="es-CO"/>
              </w:rPr>
              <w:t xml:space="preserve">de la Entidad, entre lo cual se </w:t>
            </w:r>
            <w:r w:rsidRPr="009E18B3">
              <w:rPr>
                <w:rFonts w:ascii="Arial" w:hAnsi="Arial" w:cs="Arial"/>
                <w:sz w:val="22"/>
                <w:szCs w:val="22"/>
                <w:lang w:val="es-CO"/>
              </w:rPr>
              <w:t>requiere de manera específica un técnico y/o tecnólogo en áreas de ob</w:t>
            </w:r>
            <w:r>
              <w:rPr>
                <w:rFonts w:ascii="Arial" w:hAnsi="Arial" w:cs="Arial"/>
                <w:sz w:val="22"/>
                <w:szCs w:val="22"/>
                <w:lang w:val="es-CO"/>
              </w:rPr>
              <w:t xml:space="preserve">ras civiles o </w:t>
            </w:r>
            <w:r w:rsidRPr="009E18B3">
              <w:rPr>
                <w:rFonts w:ascii="Arial" w:hAnsi="Arial" w:cs="Arial"/>
                <w:sz w:val="22"/>
                <w:szCs w:val="22"/>
                <w:lang w:val="es-CO"/>
              </w:rPr>
              <w:t xml:space="preserve">ambientales o forestales o sanitarias, para el apoyo de </w:t>
            </w:r>
            <w:r>
              <w:rPr>
                <w:rFonts w:ascii="Arial" w:hAnsi="Arial" w:cs="Arial"/>
                <w:sz w:val="22"/>
                <w:szCs w:val="22"/>
                <w:lang w:val="es-CO"/>
              </w:rPr>
              <w:t xml:space="preserve">las actividades en la Dirección </w:t>
            </w:r>
            <w:r w:rsidRPr="009E18B3">
              <w:rPr>
                <w:rFonts w:ascii="Arial" w:hAnsi="Arial" w:cs="Arial"/>
                <w:sz w:val="22"/>
                <w:szCs w:val="22"/>
                <w:lang w:val="es-CO"/>
              </w:rPr>
              <w:t>Técnica, así como también la revisión de temas con la</w:t>
            </w:r>
            <w:r>
              <w:rPr>
                <w:rFonts w:ascii="Arial" w:hAnsi="Arial" w:cs="Arial"/>
                <w:sz w:val="22"/>
                <w:szCs w:val="22"/>
                <w:lang w:val="es-CO"/>
              </w:rPr>
              <w:t xml:space="preserve"> Autoridad Ambiental Regional – </w:t>
            </w:r>
            <w:r w:rsidRPr="009E18B3">
              <w:rPr>
                <w:rFonts w:ascii="Arial" w:hAnsi="Arial" w:cs="Arial"/>
                <w:sz w:val="22"/>
                <w:szCs w:val="22"/>
                <w:lang w:val="es-CO"/>
              </w:rPr>
              <w:t>CORTOLIMA sobre los mínimos ambientales, permisos, ocupaciones y el s</w:t>
            </w:r>
            <w:r>
              <w:rPr>
                <w:rFonts w:ascii="Arial" w:hAnsi="Arial" w:cs="Arial"/>
                <w:sz w:val="22"/>
                <w:szCs w:val="22"/>
                <w:lang w:val="es-CO"/>
              </w:rPr>
              <w:t xml:space="preserve">eguimiento y </w:t>
            </w:r>
            <w:r w:rsidRPr="009E18B3">
              <w:rPr>
                <w:rFonts w:ascii="Arial" w:hAnsi="Arial" w:cs="Arial"/>
                <w:sz w:val="22"/>
                <w:szCs w:val="22"/>
                <w:lang w:val="es-CO"/>
              </w:rPr>
              <w:t>cargue de la información de los proyectos financiado</w:t>
            </w:r>
            <w:r>
              <w:rPr>
                <w:rFonts w:ascii="Arial" w:hAnsi="Arial" w:cs="Arial"/>
                <w:sz w:val="22"/>
                <w:szCs w:val="22"/>
                <w:lang w:val="es-CO"/>
              </w:rPr>
              <w:t xml:space="preserve">s y ejecutados con recursos del </w:t>
            </w:r>
            <w:r w:rsidRPr="009E18B3">
              <w:rPr>
                <w:rFonts w:ascii="Arial" w:hAnsi="Arial" w:cs="Arial"/>
                <w:sz w:val="22"/>
                <w:szCs w:val="22"/>
                <w:lang w:val="es-CO"/>
              </w:rPr>
              <w:t>Sistema General de Regalías SGR- GESPROY en los cu</w:t>
            </w:r>
            <w:r>
              <w:rPr>
                <w:rFonts w:ascii="Arial" w:hAnsi="Arial" w:cs="Arial"/>
                <w:sz w:val="22"/>
                <w:szCs w:val="22"/>
                <w:lang w:val="es-CO"/>
              </w:rPr>
              <w:t xml:space="preserve">ales es parte la Empresa, entre </w:t>
            </w:r>
            <w:r w:rsidRPr="009E18B3">
              <w:rPr>
                <w:rFonts w:ascii="Arial" w:hAnsi="Arial" w:cs="Arial"/>
                <w:sz w:val="22"/>
                <w:szCs w:val="22"/>
                <w:lang w:val="es-CO"/>
              </w:rPr>
              <w:t>otros.</w:t>
            </w:r>
          </w:p>
          <w:p w14:paraId="25C40E71" w14:textId="77777777" w:rsidR="009E18B3" w:rsidRDefault="009E18B3" w:rsidP="00A00EDC">
            <w:pPr>
              <w:widowControl/>
              <w:jc w:val="both"/>
              <w:rPr>
                <w:rFonts w:ascii="Arial" w:hAnsi="Arial" w:cs="Arial"/>
                <w:sz w:val="22"/>
                <w:szCs w:val="22"/>
                <w:lang w:val="es-CO"/>
              </w:rPr>
            </w:pPr>
          </w:p>
          <w:p w14:paraId="6E29DEF8" w14:textId="732FFCAE" w:rsidR="008E0AAB" w:rsidRPr="0028297A" w:rsidRDefault="009E18B3" w:rsidP="009E18B3">
            <w:pPr>
              <w:widowControl/>
              <w:jc w:val="both"/>
              <w:rPr>
                <w:rFonts w:ascii="Arial" w:hAnsi="Arial" w:cs="Arial"/>
                <w:sz w:val="22"/>
                <w:szCs w:val="22"/>
                <w:lang w:val="es-CO"/>
              </w:rPr>
            </w:pPr>
            <w:r w:rsidRPr="009E18B3">
              <w:rPr>
                <w:rFonts w:ascii="Arial" w:hAnsi="Arial" w:cs="Arial"/>
                <w:sz w:val="22"/>
                <w:szCs w:val="22"/>
                <w:lang w:val="es-CO"/>
              </w:rPr>
              <w:t>Que es apropiado manifestar que la Dirección Técnica de la Empresa requ</w:t>
            </w:r>
            <w:r>
              <w:rPr>
                <w:rFonts w:ascii="Arial" w:hAnsi="Arial" w:cs="Arial"/>
                <w:sz w:val="22"/>
                <w:szCs w:val="22"/>
                <w:lang w:val="es-CO"/>
              </w:rPr>
              <w:t xml:space="preserve">iere de varios </w:t>
            </w:r>
            <w:r w:rsidRPr="009E18B3">
              <w:rPr>
                <w:rFonts w:ascii="Arial" w:hAnsi="Arial" w:cs="Arial"/>
                <w:sz w:val="22"/>
                <w:szCs w:val="22"/>
                <w:lang w:val="es-CO"/>
              </w:rPr>
              <w:t>técnicos, para atender cada una de las funciones que es</w:t>
            </w:r>
            <w:r>
              <w:rPr>
                <w:rFonts w:ascii="Arial" w:hAnsi="Arial" w:cs="Arial"/>
                <w:sz w:val="22"/>
                <w:szCs w:val="22"/>
                <w:lang w:val="es-CO"/>
              </w:rPr>
              <w:t xml:space="preserve">tán a cargo de la dependencia y </w:t>
            </w:r>
            <w:r w:rsidRPr="009E18B3">
              <w:rPr>
                <w:rFonts w:ascii="Arial" w:hAnsi="Arial" w:cs="Arial"/>
                <w:sz w:val="22"/>
                <w:szCs w:val="22"/>
                <w:lang w:val="es-CO"/>
              </w:rPr>
              <w:t xml:space="preserve">que comprenden asuntos operativos, administrativos y archivo. </w:t>
            </w:r>
          </w:p>
          <w:p w14:paraId="12F1A5E8" w14:textId="77777777" w:rsidR="00634473" w:rsidRPr="0028297A" w:rsidRDefault="00634473" w:rsidP="007426AF">
            <w:pPr>
              <w:widowControl/>
              <w:jc w:val="both"/>
              <w:rPr>
                <w:rFonts w:ascii="Arial" w:hAnsi="Arial" w:cs="Arial"/>
                <w:sz w:val="22"/>
                <w:szCs w:val="22"/>
                <w:lang w:val="es-CO" w:eastAsia="es-CO"/>
              </w:rPr>
            </w:pPr>
          </w:p>
          <w:p w14:paraId="61D7C7AE" w14:textId="7BB68D1D" w:rsidR="00871963" w:rsidRPr="00871963" w:rsidRDefault="00871963" w:rsidP="00871963">
            <w:pPr>
              <w:widowControl/>
              <w:jc w:val="both"/>
              <w:rPr>
                <w:rFonts w:ascii="Arial" w:hAnsi="Arial" w:cs="Arial"/>
                <w:sz w:val="22"/>
                <w:szCs w:val="22"/>
                <w:lang w:val="es-CO" w:eastAsia="es-CO"/>
              </w:rPr>
            </w:pPr>
            <w:r w:rsidRPr="00871963">
              <w:rPr>
                <w:rFonts w:ascii="Arial" w:hAnsi="Arial" w:cs="Arial"/>
                <w:sz w:val="22"/>
                <w:szCs w:val="22"/>
                <w:lang w:val="es-CO" w:eastAsia="es-CO"/>
              </w:rPr>
              <w:t>Que la necesidad que se requiere contratar se sujetará</w:t>
            </w:r>
            <w:r>
              <w:rPr>
                <w:rFonts w:ascii="Arial" w:hAnsi="Arial" w:cs="Arial"/>
                <w:sz w:val="22"/>
                <w:szCs w:val="22"/>
                <w:lang w:val="es-CO" w:eastAsia="es-CO"/>
              </w:rPr>
              <w:t xml:space="preserve"> a los principios de la función </w:t>
            </w:r>
            <w:r w:rsidRPr="00871963">
              <w:rPr>
                <w:rFonts w:ascii="Arial" w:hAnsi="Arial" w:cs="Arial"/>
                <w:sz w:val="22"/>
                <w:szCs w:val="22"/>
                <w:lang w:val="es-CO" w:eastAsia="es-CO"/>
              </w:rPr>
              <w:t>administrativa contemplados en el artículo 209 de la Constit</w:t>
            </w:r>
            <w:r>
              <w:rPr>
                <w:rFonts w:ascii="Arial" w:hAnsi="Arial" w:cs="Arial"/>
                <w:sz w:val="22"/>
                <w:szCs w:val="22"/>
                <w:lang w:val="es-CO" w:eastAsia="es-CO"/>
              </w:rPr>
              <w:t xml:space="preserve">ución Política de 1991, el cual </w:t>
            </w:r>
            <w:r w:rsidRPr="00871963">
              <w:rPr>
                <w:rFonts w:ascii="Arial" w:hAnsi="Arial" w:cs="Arial"/>
                <w:sz w:val="22"/>
                <w:szCs w:val="22"/>
                <w:lang w:val="es-CO" w:eastAsia="es-CO"/>
              </w:rPr>
              <w:t xml:space="preserve">señala que la función administrativa está al servicio </w:t>
            </w:r>
            <w:r>
              <w:rPr>
                <w:rFonts w:ascii="Arial" w:hAnsi="Arial" w:cs="Arial"/>
                <w:sz w:val="22"/>
                <w:szCs w:val="22"/>
                <w:lang w:val="es-CO" w:eastAsia="es-CO"/>
              </w:rPr>
              <w:t xml:space="preserve">de los intereses generales y se </w:t>
            </w:r>
            <w:r w:rsidRPr="00871963">
              <w:rPr>
                <w:rFonts w:ascii="Arial" w:hAnsi="Arial" w:cs="Arial"/>
                <w:sz w:val="22"/>
                <w:szCs w:val="22"/>
                <w:lang w:val="es-CO" w:eastAsia="es-CO"/>
              </w:rPr>
              <w:t>desarrolla con fundamento en los principios de igualdad,</w:t>
            </w:r>
            <w:r>
              <w:rPr>
                <w:rFonts w:ascii="Arial" w:hAnsi="Arial" w:cs="Arial"/>
                <w:sz w:val="22"/>
                <w:szCs w:val="22"/>
                <w:lang w:val="es-CO" w:eastAsia="es-CO"/>
              </w:rPr>
              <w:t xml:space="preserve"> moralidad, eficacia, economía, </w:t>
            </w:r>
            <w:r w:rsidRPr="00871963">
              <w:rPr>
                <w:rFonts w:ascii="Arial" w:hAnsi="Arial" w:cs="Arial"/>
                <w:sz w:val="22"/>
                <w:szCs w:val="22"/>
                <w:lang w:val="es-CO" w:eastAsia="es-CO"/>
              </w:rPr>
              <w:t>celeridad, imparcialidad y publicidad, mediante la descen</w:t>
            </w:r>
            <w:r>
              <w:rPr>
                <w:rFonts w:ascii="Arial" w:hAnsi="Arial" w:cs="Arial"/>
                <w:sz w:val="22"/>
                <w:szCs w:val="22"/>
                <w:lang w:val="es-CO" w:eastAsia="es-CO"/>
              </w:rPr>
              <w:t xml:space="preserve">tralización, la delegación y la </w:t>
            </w:r>
            <w:r w:rsidRPr="00871963">
              <w:rPr>
                <w:rFonts w:ascii="Arial" w:hAnsi="Arial" w:cs="Arial"/>
                <w:sz w:val="22"/>
                <w:szCs w:val="22"/>
                <w:lang w:val="es-CO" w:eastAsia="es-CO"/>
              </w:rPr>
              <w:t>desconcentración de funciones.</w:t>
            </w:r>
          </w:p>
          <w:p w14:paraId="7C4A30CD" w14:textId="77777777" w:rsidR="00871963" w:rsidRDefault="00871963" w:rsidP="00871963">
            <w:pPr>
              <w:widowControl/>
              <w:jc w:val="both"/>
              <w:rPr>
                <w:rFonts w:ascii="Arial" w:hAnsi="Arial" w:cs="Arial"/>
                <w:sz w:val="22"/>
                <w:szCs w:val="22"/>
                <w:lang w:val="es-CO" w:eastAsia="es-CO"/>
              </w:rPr>
            </w:pPr>
          </w:p>
          <w:p w14:paraId="5777AFD1" w14:textId="70C498D2" w:rsidR="009E18B3" w:rsidRDefault="00871963" w:rsidP="00871963">
            <w:pPr>
              <w:widowControl/>
              <w:jc w:val="both"/>
              <w:rPr>
                <w:rFonts w:ascii="Arial" w:hAnsi="Arial" w:cs="Arial"/>
                <w:sz w:val="22"/>
                <w:szCs w:val="22"/>
                <w:lang w:val="es-CO" w:eastAsia="es-CO"/>
              </w:rPr>
            </w:pPr>
            <w:r w:rsidRPr="00871963">
              <w:rPr>
                <w:rFonts w:ascii="Arial" w:hAnsi="Arial" w:cs="Arial"/>
                <w:sz w:val="22"/>
                <w:szCs w:val="22"/>
                <w:lang w:val="es-CO" w:eastAsia="es-CO"/>
              </w:rPr>
              <w:t>Que así mismo, se enmarca en los fines estatales dispuesto</w:t>
            </w:r>
            <w:r>
              <w:rPr>
                <w:rFonts w:ascii="Arial" w:hAnsi="Arial" w:cs="Arial"/>
                <w:sz w:val="22"/>
                <w:szCs w:val="22"/>
                <w:lang w:val="es-CO" w:eastAsia="es-CO"/>
              </w:rPr>
              <w:t xml:space="preserve">s en el artículo 3 de la Ley 80 </w:t>
            </w:r>
            <w:r w:rsidRPr="00871963">
              <w:rPr>
                <w:rFonts w:ascii="Arial" w:hAnsi="Arial" w:cs="Arial"/>
                <w:sz w:val="22"/>
                <w:szCs w:val="22"/>
                <w:lang w:val="es-CO" w:eastAsia="es-CO"/>
              </w:rPr>
              <w:t>de 1993, que consagra la obligación de los servidor</w:t>
            </w:r>
            <w:r>
              <w:rPr>
                <w:rFonts w:ascii="Arial" w:hAnsi="Arial" w:cs="Arial"/>
                <w:sz w:val="22"/>
                <w:szCs w:val="22"/>
                <w:lang w:val="es-CO" w:eastAsia="es-CO"/>
              </w:rPr>
              <w:t xml:space="preserve">es públicos en la celebración y </w:t>
            </w:r>
            <w:r w:rsidRPr="00871963">
              <w:rPr>
                <w:rFonts w:ascii="Arial" w:hAnsi="Arial" w:cs="Arial"/>
                <w:sz w:val="22"/>
                <w:szCs w:val="22"/>
                <w:lang w:val="es-CO" w:eastAsia="es-CO"/>
              </w:rPr>
              <w:t>ejecución de los contratos, buscar el estricto cumplimi</w:t>
            </w:r>
            <w:r>
              <w:rPr>
                <w:rFonts w:ascii="Arial" w:hAnsi="Arial" w:cs="Arial"/>
                <w:sz w:val="22"/>
                <w:szCs w:val="22"/>
                <w:lang w:val="es-CO" w:eastAsia="es-CO"/>
              </w:rPr>
              <w:t xml:space="preserve">ento de la continua y eficiente </w:t>
            </w:r>
            <w:r w:rsidRPr="00871963">
              <w:rPr>
                <w:rFonts w:ascii="Arial" w:hAnsi="Arial" w:cs="Arial"/>
                <w:sz w:val="22"/>
                <w:szCs w:val="22"/>
                <w:lang w:val="es-CO" w:eastAsia="es-CO"/>
              </w:rPr>
              <w:t xml:space="preserve">prestación de los servicios públicos y la efectividad de </w:t>
            </w:r>
            <w:r>
              <w:rPr>
                <w:rFonts w:ascii="Arial" w:hAnsi="Arial" w:cs="Arial"/>
                <w:sz w:val="22"/>
                <w:szCs w:val="22"/>
                <w:lang w:val="es-CO" w:eastAsia="es-CO"/>
              </w:rPr>
              <w:t xml:space="preserve">los derechos e intereses de los </w:t>
            </w:r>
            <w:r w:rsidRPr="00871963">
              <w:rPr>
                <w:rFonts w:ascii="Arial" w:hAnsi="Arial" w:cs="Arial"/>
                <w:sz w:val="22"/>
                <w:szCs w:val="22"/>
                <w:lang w:val="es-CO" w:eastAsia="es-CO"/>
              </w:rPr>
              <w:t xml:space="preserve">administrados que colaboran con ella en la consecución de </w:t>
            </w:r>
            <w:r>
              <w:rPr>
                <w:rFonts w:ascii="Arial" w:hAnsi="Arial" w:cs="Arial"/>
                <w:sz w:val="22"/>
                <w:szCs w:val="22"/>
                <w:lang w:val="es-CO" w:eastAsia="es-CO"/>
              </w:rPr>
              <w:t xml:space="preserve">dichos fines. Los particulares, </w:t>
            </w:r>
            <w:r w:rsidRPr="00871963">
              <w:rPr>
                <w:rFonts w:ascii="Arial" w:hAnsi="Arial" w:cs="Arial"/>
                <w:sz w:val="22"/>
                <w:szCs w:val="22"/>
                <w:lang w:val="es-CO" w:eastAsia="es-CO"/>
              </w:rPr>
              <w:t>por su parte, tendrán en cuenta al celebrar y ejecutar contratos con las entidades estat</w:t>
            </w:r>
            <w:r>
              <w:rPr>
                <w:rFonts w:ascii="Arial" w:hAnsi="Arial" w:cs="Arial"/>
                <w:sz w:val="22"/>
                <w:szCs w:val="22"/>
                <w:lang w:val="es-CO" w:eastAsia="es-CO"/>
              </w:rPr>
              <w:t xml:space="preserve">ales </w:t>
            </w:r>
            <w:r w:rsidRPr="00871963">
              <w:rPr>
                <w:rFonts w:ascii="Arial" w:hAnsi="Arial" w:cs="Arial"/>
                <w:sz w:val="22"/>
                <w:szCs w:val="22"/>
                <w:lang w:val="es-CO" w:eastAsia="es-CO"/>
              </w:rPr>
              <w:t>que colaboran con ellas en el logro de sus fines y cumpl</w:t>
            </w:r>
            <w:r>
              <w:rPr>
                <w:rFonts w:ascii="Arial" w:hAnsi="Arial" w:cs="Arial"/>
                <w:sz w:val="22"/>
                <w:szCs w:val="22"/>
                <w:lang w:val="es-CO" w:eastAsia="es-CO"/>
              </w:rPr>
              <w:t xml:space="preserve">en una función social que, como </w:t>
            </w:r>
            <w:r w:rsidRPr="00871963">
              <w:rPr>
                <w:rFonts w:ascii="Arial" w:hAnsi="Arial" w:cs="Arial"/>
                <w:sz w:val="22"/>
                <w:szCs w:val="22"/>
                <w:lang w:val="es-CO" w:eastAsia="es-CO"/>
              </w:rPr>
              <w:t>tal, implican obligaciones.</w:t>
            </w:r>
          </w:p>
          <w:p w14:paraId="47D27B99" w14:textId="30C9EAFC" w:rsidR="009E18B3" w:rsidRDefault="009E18B3" w:rsidP="00BA4F6F">
            <w:pPr>
              <w:widowControl/>
              <w:jc w:val="both"/>
              <w:rPr>
                <w:rFonts w:ascii="Arial" w:hAnsi="Arial" w:cs="Arial"/>
                <w:sz w:val="22"/>
                <w:szCs w:val="22"/>
                <w:lang w:val="es-CO" w:eastAsia="es-CO"/>
              </w:rPr>
            </w:pPr>
          </w:p>
          <w:p w14:paraId="33F9F45D" w14:textId="75C94A8F" w:rsidR="009E18B3" w:rsidRDefault="00871963" w:rsidP="00871963">
            <w:pPr>
              <w:widowControl/>
              <w:jc w:val="both"/>
              <w:rPr>
                <w:rFonts w:ascii="Arial" w:hAnsi="Arial" w:cs="Arial"/>
                <w:sz w:val="22"/>
                <w:szCs w:val="22"/>
                <w:lang w:val="es-CO" w:eastAsia="es-CO"/>
              </w:rPr>
            </w:pPr>
            <w:r w:rsidRPr="00871963">
              <w:rPr>
                <w:rFonts w:ascii="Arial" w:hAnsi="Arial" w:cs="Arial"/>
                <w:sz w:val="22"/>
                <w:szCs w:val="22"/>
                <w:lang w:val="es-CO" w:eastAsia="es-CO"/>
              </w:rPr>
              <w:t>Que en razón a la naturaleza de los recursos del Ge</w:t>
            </w:r>
            <w:r>
              <w:rPr>
                <w:rFonts w:ascii="Arial" w:hAnsi="Arial" w:cs="Arial"/>
                <w:sz w:val="22"/>
                <w:szCs w:val="22"/>
                <w:lang w:val="es-CO" w:eastAsia="es-CO"/>
              </w:rPr>
              <w:t xml:space="preserve">stor del PDA dispuestos para la </w:t>
            </w:r>
            <w:r w:rsidRPr="00871963">
              <w:rPr>
                <w:rFonts w:ascii="Arial" w:hAnsi="Arial" w:cs="Arial"/>
                <w:sz w:val="22"/>
                <w:szCs w:val="22"/>
                <w:lang w:val="es-CO" w:eastAsia="es-CO"/>
              </w:rPr>
              <w:t>ejecución de actividades a contratar, la normatividad ap</w:t>
            </w:r>
            <w:r>
              <w:rPr>
                <w:rFonts w:ascii="Arial" w:hAnsi="Arial" w:cs="Arial"/>
                <w:sz w:val="22"/>
                <w:szCs w:val="22"/>
                <w:lang w:val="es-CO" w:eastAsia="es-CO"/>
              </w:rPr>
              <w:t xml:space="preserve">licable será la dispuesta en el </w:t>
            </w:r>
            <w:r w:rsidRPr="00871963">
              <w:rPr>
                <w:rFonts w:ascii="Arial" w:hAnsi="Arial" w:cs="Arial"/>
                <w:sz w:val="22"/>
                <w:szCs w:val="22"/>
                <w:lang w:val="es-CO" w:eastAsia="es-CO"/>
              </w:rPr>
              <w:t>Estatuto General de Contratación Pública, de esta manera</w:t>
            </w:r>
            <w:r>
              <w:rPr>
                <w:rFonts w:ascii="Arial" w:hAnsi="Arial" w:cs="Arial"/>
                <w:sz w:val="22"/>
                <w:szCs w:val="22"/>
                <w:lang w:val="es-CO" w:eastAsia="es-CO"/>
              </w:rPr>
              <w:t xml:space="preserve"> el artículo 32 de la Ley 80 de </w:t>
            </w:r>
            <w:r w:rsidRPr="00871963">
              <w:rPr>
                <w:rFonts w:ascii="Arial" w:hAnsi="Arial" w:cs="Arial"/>
                <w:sz w:val="22"/>
                <w:szCs w:val="22"/>
                <w:lang w:val="es-CO" w:eastAsia="es-CO"/>
              </w:rPr>
              <w:t>1993, señala que son contratos estatales todos los actos jurídicos generadores d</w:t>
            </w:r>
            <w:r>
              <w:rPr>
                <w:rFonts w:ascii="Arial" w:hAnsi="Arial" w:cs="Arial"/>
                <w:sz w:val="22"/>
                <w:szCs w:val="22"/>
                <w:lang w:val="es-CO" w:eastAsia="es-CO"/>
              </w:rPr>
              <w:t xml:space="preserve">e </w:t>
            </w:r>
            <w:r w:rsidRPr="00871963">
              <w:rPr>
                <w:rFonts w:ascii="Arial" w:hAnsi="Arial" w:cs="Arial"/>
                <w:sz w:val="22"/>
                <w:szCs w:val="22"/>
                <w:lang w:val="es-CO" w:eastAsia="es-CO"/>
              </w:rPr>
              <w:t>obligaciones que celebren las entidades a que se refiere el c</w:t>
            </w:r>
            <w:r>
              <w:rPr>
                <w:rFonts w:ascii="Arial" w:hAnsi="Arial" w:cs="Arial"/>
                <w:sz w:val="22"/>
                <w:szCs w:val="22"/>
                <w:lang w:val="es-CO" w:eastAsia="es-CO"/>
              </w:rPr>
              <w:t xml:space="preserve">itado Estatuto, previstos en el </w:t>
            </w:r>
            <w:r w:rsidRPr="00871963">
              <w:rPr>
                <w:rFonts w:ascii="Arial" w:hAnsi="Arial" w:cs="Arial"/>
                <w:sz w:val="22"/>
                <w:szCs w:val="22"/>
                <w:lang w:val="es-CO" w:eastAsia="es-CO"/>
              </w:rPr>
              <w:t>derecho privado o en disposiciones especiales, o derivado</w:t>
            </w:r>
            <w:r>
              <w:rPr>
                <w:rFonts w:ascii="Arial" w:hAnsi="Arial" w:cs="Arial"/>
                <w:sz w:val="22"/>
                <w:szCs w:val="22"/>
                <w:lang w:val="es-CO" w:eastAsia="es-CO"/>
              </w:rPr>
              <w:t xml:space="preserve">s del ejercicio de la autonomía </w:t>
            </w:r>
            <w:r w:rsidRPr="00871963">
              <w:rPr>
                <w:rFonts w:ascii="Arial" w:hAnsi="Arial" w:cs="Arial"/>
                <w:sz w:val="22"/>
                <w:szCs w:val="22"/>
                <w:lang w:val="es-CO" w:eastAsia="es-CO"/>
              </w:rPr>
              <w:t>de la voluntad, así como los que, a título enunciativo define la norma.</w:t>
            </w:r>
          </w:p>
          <w:p w14:paraId="756D1191" w14:textId="516F4A3E" w:rsidR="001066AA" w:rsidRPr="0028297A" w:rsidRDefault="001066AA" w:rsidP="007426AF">
            <w:pPr>
              <w:autoSpaceDE w:val="0"/>
              <w:autoSpaceDN w:val="0"/>
              <w:adjustRightInd w:val="0"/>
              <w:jc w:val="both"/>
              <w:rPr>
                <w:rFonts w:ascii="Arial" w:hAnsi="Arial" w:cs="Arial"/>
                <w:sz w:val="22"/>
                <w:szCs w:val="22"/>
              </w:rPr>
            </w:pPr>
          </w:p>
          <w:p w14:paraId="37B683FF" w14:textId="7EEE30FB" w:rsidR="00D80437" w:rsidRPr="0028297A" w:rsidRDefault="005417D5" w:rsidP="007426AF">
            <w:pPr>
              <w:tabs>
                <w:tab w:val="left" w:pos="7080"/>
              </w:tabs>
              <w:autoSpaceDE w:val="0"/>
              <w:autoSpaceDN w:val="0"/>
              <w:adjustRightInd w:val="0"/>
              <w:ind w:right="72"/>
              <w:jc w:val="both"/>
              <w:rPr>
                <w:rFonts w:ascii="Arial" w:hAnsi="Arial" w:cs="Arial"/>
                <w:sz w:val="22"/>
                <w:szCs w:val="22"/>
                <w:lang w:val="es-CO" w:eastAsia="es-CO"/>
              </w:rPr>
            </w:pPr>
            <w:r w:rsidRPr="0028297A">
              <w:rPr>
                <w:rFonts w:ascii="Arial" w:hAnsi="Arial" w:cs="Arial"/>
                <w:sz w:val="22"/>
                <w:szCs w:val="22"/>
              </w:rPr>
              <w:t>Que l</w:t>
            </w:r>
            <w:r w:rsidR="00895EDB" w:rsidRPr="0028297A">
              <w:rPr>
                <w:rFonts w:ascii="Arial" w:hAnsi="Arial" w:cs="Arial"/>
                <w:sz w:val="22"/>
                <w:szCs w:val="22"/>
              </w:rPr>
              <w:t xml:space="preserve">a Jurisprudencia, respecto a los contratos de prestación de servicios ha señalado que: “(…) </w:t>
            </w:r>
            <w:r w:rsidR="00895EDB" w:rsidRPr="0028297A">
              <w:rPr>
                <w:rFonts w:ascii="Arial" w:hAnsi="Arial" w:cs="Arial"/>
                <w:i/>
                <w:sz w:val="22"/>
                <w:szCs w:val="22"/>
              </w:rPr>
              <w:t>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de la labor (art 32 L80/93)… además, porque si bien es cierto que la actividad del contratista puede ser igual a la de empleados de la planta, no es menos evidente que ello puede deberse a que este personal no alcance para colmar la aspiración del servicio público; situación que hace imperiosa la contratación de personas ajenas a la entidad (…)</w:t>
            </w:r>
            <w:r w:rsidR="00895EDB" w:rsidRPr="0028297A">
              <w:rPr>
                <w:rStyle w:val="Refdenotaalpie"/>
                <w:rFonts w:ascii="Arial" w:hAnsi="Arial" w:cs="Arial"/>
                <w:i/>
                <w:sz w:val="22"/>
                <w:szCs w:val="22"/>
              </w:rPr>
              <w:footnoteReference w:id="2"/>
            </w:r>
            <w:r w:rsidR="00895EDB" w:rsidRPr="0028297A">
              <w:rPr>
                <w:rFonts w:ascii="Arial" w:hAnsi="Arial" w:cs="Arial"/>
                <w:i/>
                <w:sz w:val="22"/>
                <w:szCs w:val="22"/>
              </w:rPr>
              <w:t>”.</w:t>
            </w:r>
          </w:p>
        </w:tc>
      </w:tr>
      <w:tr w:rsidR="002A00FA" w:rsidRPr="0028297A" w14:paraId="5CBC8557" w14:textId="77777777" w:rsidTr="00563B96">
        <w:tc>
          <w:tcPr>
            <w:tcW w:w="9356" w:type="dxa"/>
            <w:gridSpan w:val="2"/>
            <w:shd w:val="clear" w:color="auto" w:fill="B8CCE4" w:themeFill="accent1" w:themeFillTint="66"/>
          </w:tcPr>
          <w:p w14:paraId="4940F9D0" w14:textId="7464750E" w:rsidR="002A00FA" w:rsidRPr="0028297A" w:rsidRDefault="002A00FA" w:rsidP="007426AF">
            <w:pPr>
              <w:jc w:val="center"/>
              <w:rPr>
                <w:rFonts w:ascii="Arial" w:hAnsi="Arial" w:cs="Arial"/>
                <w:b/>
                <w:sz w:val="22"/>
                <w:szCs w:val="22"/>
              </w:rPr>
            </w:pPr>
            <w:r w:rsidRPr="0028297A">
              <w:rPr>
                <w:rFonts w:ascii="Arial" w:hAnsi="Arial" w:cs="Arial"/>
                <w:b/>
                <w:bCs/>
                <w:sz w:val="22"/>
                <w:szCs w:val="22"/>
              </w:rPr>
              <w:lastRenderedPageBreak/>
              <w:t>DESCRIPCI</w:t>
            </w:r>
            <w:r w:rsidR="008445C9" w:rsidRPr="0028297A">
              <w:rPr>
                <w:rFonts w:ascii="Arial" w:hAnsi="Arial" w:cs="Arial"/>
                <w:b/>
                <w:bCs/>
                <w:sz w:val="22"/>
                <w:szCs w:val="22"/>
              </w:rPr>
              <w:t>Ó</w:t>
            </w:r>
            <w:r w:rsidRPr="0028297A">
              <w:rPr>
                <w:rFonts w:ascii="Arial" w:hAnsi="Arial" w:cs="Arial"/>
                <w:b/>
                <w:bCs/>
                <w:sz w:val="22"/>
                <w:szCs w:val="22"/>
              </w:rPr>
              <w:t>N DEL OBJETO A CONTRATAR Y ESPECIFICACIONES</w:t>
            </w:r>
          </w:p>
        </w:tc>
      </w:tr>
      <w:tr w:rsidR="002A00FA" w:rsidRPr="0028297A" w14:paraId="451112C7" w14:textId="77777777" w:rsidTr="00563B96">
        <w:tc>
          <w:tcPr>
            <w:tcW w:w="2978" w:type="dxa"/>
            <w:vAlign w:val="center"/>
          </w:tcPr>
          <w:p w14:paraId="063016C9" w14:textId="77777777" w:rsidR="002A00FA" w:rsidRPr="0028297A" w:rsidRDefault="002A00FA" w:rsidP="007426AF">
            <w:pPr>
              <w:rPr>
                <w:rFonts w:ascii="Arial" w:hAnsi="Arial" w:cs="Arial"/>
                <w:b/>
                <w:bCs/>
                <w:sz w:val="22"/>
                <w:szCs w:val="22"/>
              </w:rPr>
            </w:pPr>
            <w:r w:rsidRPr="0028297A">
              <w:rPr>
                <w:rFonts w:ascii="Arial" w:hAnsi="Arial" w:cs="Arial"/>
                <w:b/>
                <w:bCs/>
                <w:sz w:val="22"/>
                <w:szCs w:val="22"/>
              </w:rPr>
              <w:t>OBJETO</w:t>
            </w:r>
          </w:p>
        </w:tc>
        <w:tc>
          <w:tcPr>
            <w:tcW w:w="6378" w:type="dxa"/>
          </w:tcPr>
          <w:p w14:paraId="1B8E81AA" w14:textId="0F346B25" w:rsidR="002A00FA" w:rsidRPr="00DD56F5" w:rsidRDefault="002A00FA" w:rsidP="00DD56F5">
            <w:pPr>
              <w:pStyle w:val="Encabezado"/>
              <w:jc w:val="both"/>
              <w:rPr>
                <w:rFonts w:ascii="Arial" w:hAnsi="Arial" w:cs="Arial"/>
                <w:sz w:val="22"/>
                <w:szCs w:val="22"/>
                <w:lang w:val="es-CO"/>
              </w:rPr>
            </w:pPr>
          </w:p>
        </w:tc>
      </w:tr>
      <w:tr w:rsidR="00CB1457" w:rsidRPr="0028297A" w14:paraId="2D0332B1" w14:textId="77777777" w:rsidTr="00563B96">
        <w:tc>
          <w:tcPr>
            <w:tcW w:w="2978" w:type="dxa"/>
            <w:vAlign w:val="center"/>
          </w:tcPr>
          <w:p w14:paraId="1C869940" w14:textId="0FDF4979"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lastRenderedPageBreak/>
              <w:t xml:space="preserve">VALOR DEL CONTRATO </w:t>
            </w:r>
          </w:p>
        </w:tc>
        <w:tc>
          <w:tcPr>
            <w:tcW w:w="6378" w:type="dxa"/>
          </w:tcPr>
          <w:p w14:paraId="72B1E09F" w14:textId="5709E7A4" w:rsidR="00CB1457" w:rsidRPr="0028297A" w:rsidRDefault="00CB1457" w:rsidP="007D3EE4">
            <w:pPr>
              <w:jc w:val="both"/>
              <w:rPr>
                <w:rFonts w:ascii="Arial" w:hAnsi="Arial" w:cs="Arial"/>
                <w:sz w:val="22"/>
                <w:szCs w:val="22"/>
              </w:rPr>
            </w:pPr>
            <w:r w:rsidRPr="0028297A">
              <w:rPr>
                <w:rFonts w:ascii="Arial" w:hAnsi="Arial" w:cs="Arial"/>
                <w:sz w:val="22"/>
                <w:szCs w:val="22"/>
              </w:rPr>
              <w:t>La EMPRESA DE</w:t>
            </w:r>
            <w:r w:rsidR="006E568A" w:rsidRPr="0028297A">
              <w:rPr>
                <w:rFonts w:ascii="Arial" w:hAnsi="Arial" w:cs="Arial"/>
                <w:sz w:val="22"/>
                <w:szCs w:val="22"/>
              </w:rPr>
              <w:t>PARTAMENTAL DE</w:t>
            </w:r>
            <w:r w:rsidRPr="0028297A">
              <w:rPr>
                <w:rFonts w:ascii="Arial" w:hAnsi="Arial" w:cs="Arial"/>
                <w:sz w:val="22"/>
                <w:szCs w:val="22"/>
              </w:rPr>
              <w:t xml:space="preserve"> ACUEDUCTO, ALCANTARILLADO Y ASEO DEL TOLIMA EDAT S.A. E.S.P. </w:t>
            </w:r>
            <w:r w:rsidRPr="000B0E58">
              <w:rPr>
                <w:rFonts w:ascii="Arial" w:hAnsi="Arial" w:cs="Arial"/>
                <w:sz w:val="22"/>
                <w:szCs w:val="22"/>
              </w:rPr>
              <w:t>O</w:t>
            </w:r>
            <w:r w:rsidR="005417D5" w:rsidRPr="000B0E58">
              <w:rPr>
                <w:rFonts w:ascii="Arial" w:hAnsi="Arial" w:cs="Arial"/>
                <w:sz w:val="22"/>
                <w:szCs w:val="22"/>
              </w:rPr>
              <w:t>ficial</w:t>
            </w:r>
            <w:r w:rsidRPr="000B0E58">
              <w:rPr>
                <w:rFonts w:ascii="Arial" w:hAnsi="Arial" w:cs="Arial"/>
                <w:sz w:val="22"/>
                <w:szCs w:val="22"/>
              </w:rPr>
              <w:t>, establece el valor del contrato en la suma de</w:t>
            </w:r>
            <w:r w:rsidR="005D584B" w:rsidRPr="000B0E58">
              <w:rPr>
                <w:rFonts w:ascii="Arial" w:hAnsi="Arial" w:cs="Arial"/>
                <w:sz w:val="22"/>
                <w:szCs w:val="22"/>
              </w:rPr>
              <w:t xml:space="preserve"> </w:t>
            </w:r>
            <w:r w:rsidR="007D3EE4">
              <w:rPr>
                <w:rFonts w:ascii="Arial" w:hAnsi="Arial" w:cs="Arial"/>
                <w:sz w:val="22"/>
                <w:szCs w:val="22"/>
                <w:highlight w:val="yellow"/>
              </w:rPr>
              <w:t>XXXXXXXXXXXXXXXXXXXXXXPESOS ($XXXXXXXXX</w:t>
            </w:r>
            <w:r w:rsidR="000B0E58" w:rsidRPr="00DD56F5">
              <w:rPr>
                <w:rFonts w:ascii="Arial" w:hAnsi="Arial" w:cs="Arial"/>
                <w:sz w:val="22"/>
                <w:szCs w:val="22"/>
                <w:highlight w:val="yellow"/>
              </w:rPr>
              <w:t>) M/CTE</w:t>
            </w:r>
            <w:r w:rsidR="00831CD0" w:rsidRPr="00831CD0">
              <w:rPr>
                <w:rFonts w:ascii="Arial" w:hAnsi="Arial" w:cs="Arial"/>
                <w:sz w:val="22"/>
                <w:szCs w:val="22"/>
              </w:rPr>
              <w:t>.</w:t>
            </w:r>
          </w:p>
        </w:tc>
      </w:tr>
      <w:tr w:rsidR="00CB1457" w:rsidRPr="0028297A" w14:paraId="36F105E3" w14:textId="77777777" w:rsidTr="00563B96">
        <w:tc>
          <w:tcPr>
            <w:tcW w:w="2978" w:type="dxa"/>
            <w:vAlign w:val="center"/>
          </w:tcPr>
          <w:p w14:paraId="3B0A22BA" w14:textId="77777777" w:rsidR="00CB1457" w:rsidRPr="0028297A" w:rsidRDefault="00CB1457" w:rsidP="007426AF">
            <w:pPr>
              <w:rPr>
                <w:rFonts w:ascii="Arial" w:hAnsi="Arial" w:cs="Arial"/>
                <w:b/>
                <w:sz w:val="22"/>
                <w:szCs w:val="22"/>
              </w:rPr>
            </w:pPr>
            <w:r w:rsidRPr="0028297A">
              <w:rPr>
                <w:rFonts w:ascii="Arial" w:hAnsi="Arial" w:cs="Arial"/>
                <w:b/>
                <w:bCs/>
                <w:sz w:val="22"/>
                <w:szCs w:val="22"/>
              </w:rPr>
              <w:t>FORMA DE PAGO</w:t>
            </w:r>
          </w:p>
        </w:tc>
        <w:tc>
          <w:tcPr>
            <w:tcW w:w="6378" w:type="dxa"/>
          </w:tcPr>
          <w:p w14:paraId="5677AD25" w14:textId="24DCD285" w:rsidR="00CB1457" w:rsidRPr="0028297A" w:rsidRDefault="00CB1457" w:rsidP="007426AF">
            <w:pPr>
              <w:jc w:val="both"/>
              <w:rPr>
                <w:rFonts w:ascii="Arial" w:hAnsi="Arial" w:cs="Arial"/>
                <w:sz w:val="22"/>
                <w:szCs w:val="22"/>
              </w:rPr>
            </w:pPr>
            <w:r w:rsidRPr="0028297A">
              <w:rPr>
                <w:rFonts w:ascii="Arial" w:hAnsi="Arial" w:cs="Arial"/>
                <w:sz w:val="22"/>
                <w:szCs w:val="22"/>
                <w:lang w:val="es-CO"/>
              </w:rPr>
              <w:t xml:space="preserve">La EDAT S.A. E.S.P. Oficial, </w:t>
            </w:r>
            <w:r w:rsidRPr="0028297A">
              <w:rPr>
                <w:rFonts w:ascii="Arial" w:hAnsi="Arial" w:cs="Arial"/>
                <w:sz w:val="22"/>
                <w:szCs w:val="22"/>
              </w:rPr>
              <w:t xml:space="preserve">cancelará el valor del contrato, </w:t>
            </w:r>
            <w:bookmarkStart w:id="0" w:name="_Hlk31973383"/>
            <w:r w:rsidRPr="0028297A">
              <w:rPr>
                <w:rFonts w:ascii="Arial" w:hAnsi="Arial" w:cs="Arial"/>
                <w:sz w:val="22"/>
                <w:szCs w:val="22"/>
              </w:rPr>
              <w:t xml:space="preserve">en </w:t>
            </w:r>
            <w:r w:rsidR="00DD56F5">
              <w:rPr>
                <w:rFonts w:ascii="Arial" w:hAnsi="Arial" w:cs="Arial"/>
                <w:sz w:val="22"/>
                <w:szCs w:val="22"/>
              </w:rPr>
              <w:t>SEIS</w:t>
            </w:r>
            <w:r w:rsidR="0055796D">
              <w:rPr>
                <w:rFonts w:ascii="Arial" w:hAnsi="Arial" w:cs="Arial"/>
                <w:sz w:val="22"/>
                <w:szCs w:val="22"/>
              </w:rPr>
              <w:t xml:space="preserve"> </w:t>
            </w:r>
            <w:r w:rsidR="004F45BA" w:rsidRPr="0028297A">
              <w:rPr>
                <w:rFonts w:ascii="Arial" w:hAnsi="Arial" w:cs="Arial"/>
                <w:sz w:val="22"/>
                <w:szCs w:val="22"/>
              </w:rPr>
              <w:t>(0</w:t>
            </w:r>
            <w:r w:rsidR="00DD56F5">
              <w:rPr>
                <w:rFonts w:ascii="Arial" w:hAnsi="Arial" w:cs="Arial"/>
                <w:sz w:val="22"/>
                <w:szCs w:val="22"/>
              </w:rPr>
              <w:t>6</w:t>
            </w:r>
            <w:r w:rsidR="004F45BA" w:rsidRPr="0028297A">
              <w:rPr>
                <w:rFonts w:ascii="Arial" w:hAnsi="Arial" w:cs="Arial"/>
                <w:sz w:val="22"/>
                <w:szCs w:val="22"/>
              </w:rPr>
              <w:t>)</w:t>
            </w:r>
            <w:r w:rsidRPr="0028297A">
              <w:rPr>
                <w:rFonts w:ascii="Arial" w:hAnsi="Arial" w:cs="Arial"/>
                <w:sz w:val="22"/>
                <w:szCs w:val="22"/>
              </w:rPr>
              <w:t xml:space="preserve"> pagos</w:t>
            </w:r>
            <w:r w:rsidR="00485927" w:rsidRPr="0028297A">
              <w:rPr>
                <w:rFonts w:ascii="Arial" w:hAnsi="Arial" w:cs="Arial"/>
                <w:sz w:val="22"/>
                <w:szCs w:val="22"/>
              </w:rPr>
              <w:t xml:space="preserve"> mensuales </w:t>
            </w:r>
            <w:r w:rsidRPr="0028297A">
              <w:rPr>
                <w:rFonts w:ascii="Arial" w:hAnsi="Arial" w:cs="Arial"/>
                <w:sz w:val="22"/>
                <w:szCs w:val="22"/>
              </w:rPr>
              <w:t>equivalente a treinta (30) días calendario, cada uno por valor de</w:t>
            </w:r>
            <w:r w:rsidR="005D584B">
              <w:rPr>
                <w:rFonts w:ascii="Arial" w:hAnsi="Arial" w:cs="Arial"/>
                <w:sz w:val="22"/>
                <w:szCs w:val="22"/>
              </w:rPr>
              <w:t xml:space="preserve"> </w:t>
            </w:r>
            <w:proofErr w:type="gramStart"/>
            <w:r w:rsidR="007D3EE4">
              <w:rPr>
                <w:rFonts w:ascii="Arial" w:hAnsi="Arial" w:cs="Arial"/>
                <w:sz w:val="22"/>
                <w:szCs w:val="22"/>
              </w:rPr>
              <w:t>XXXXXXXXXXXXXXXXX</w:t>
            </w:r>
            <w:r w:rsidRPr="00DD56F5">
              <w:rPr>
                <w:rFonts w:ascii="Arial" w:hAnsi="Arial" w:cs="Arial"/>
                <w:sz w:val="22"/>
                <w:szCs w:val="22"/>
                <w:highlight w:val="yellow"/>
              </w:rPr>
              <w:t>(</w:t>
            </w:r>
            <w:proofErr w:type="gramEnd"/>
            <w:r w:rsidRPr="00DD56F5">
              <w:rPr>
                <w:rFonts w:ascii="Arial" w:hAnsi="Arial" w:cs="Arial"/>
                <w:sz w:val="22"/>
                <w:szCs w:val="22"/>
                <w:highlight w:val="yellow"/>
              </w:rPr>
              <w:t>$</w:t>
            </w:r>
            <w:r w:rsidR="007D3EE4">
              <w:rPr>
                <w:rFonts w:ascii="Arial" w:hAnsi="Arial" w:cs="Arial"/>
                <w:sz w:val="22"/>
                <w:szCs w:val="22"/>
                <w:highlight w:val="yellow"/>
              </w:rPr>
              <w:t>XXXXXXXXXXXXXXXX</w:t>
            </w:r>
            <w:r w:rsidR="003631F0" w:rsidRPr="00DD56F5">
              <w:rPr>
                <w:rFonts w:ascii="Arial" w:hAnsi="Arial" w:cs="Arial"/>
                <w:sz w:val="22"/>
                <w:szCs w:val="22"/>
                <w:highlight w:val="yellow"/>
              </w:rPr>
              <w:t>)</w:t>
            </w:r>
            <w:r w:rsidR="00DD56F5" w:rsidRPr="00DD56F5">
              <w:rPr>
                <w:rFonts w:ascii="Arial" w:hAnsi="Arial" w:cs="Arial"/>
                <w:sz w:val="22"/>
                <w:szCs w:val="22"/>
                <w:highlight w:val="yellow"/>
              </w:rPr>
              <w:t xml:space="preserve"> </w:t>
            </w:r>
            <w:r w:rsidR="00C74870" w:rsidRPr="00DD56F5">
              <w:rPr>
                <w:rFonts w:ascii="Arial" w:hAnsi="Arial" w:cs="Arial"/>
                <w:sz w:val="22"/>
                <w:szCs w:val="22"/>
                <w:highlight w:val="yellow"/>
              </w:rPr>
              <w:t>M/CTE</w:t>
            </w:r>
            <w:r w:rsidR="00DD56F5" w:rsidRPr="00DD56F5">
              <w:rPr>
                <w:rFonts w:ascii="Arial" w:hAnsi="Arial" w:cs="Arial"/>
                <w:sz w:val="22"/>
                <w:szCs w:val="22"/>
                <w:highlight w:val="yellow"/>
              </w:rPr>
              <w:t xml:space="preserve"> y un último pago equivalente a xx () días calendario por un valor de</w:t>
            </w:r>
            <w:r w:rsidR="00DD56F5">
              <w:rPr>
                <w:rFonts w:ascii="Arial" w:hAnsi="Arial" w:cs="Arial"/>
                <w:sz w:val="22"/>
                <w:szCs w:val="22"/>
              </w:rPr>
              <w:t xml:space="preserve"> </w:t>
            </w:r>
            <w:proofErr w:type="spellStart"/>
            <w:r w:rsidR="00DD56F5">
              <w:rPr>
                <w:rFonts w:ascii="Arial" w:hAnsi="Arial" w:cs="Arial"/>
                <w:sz w:val="22"/>
                <w:szCs w:val="22"/>
              </w:rPr>
              <w:t>xxxx</w:t>
            </w:r>
            <w:proofErr w:type="spellEnd"/>
            <w:r w:rsidR="004F45BA" w:rsidRPr="0028297A">
              <w:rPr>
                <w:rFonts w:ascii="Arial" w:hAnsi="Arial" w:cs="Arial"/>
                <w:sz w:val="22"/>
                <w:szCs w:val="22"/>
              </w:rPr>
              <w:t xml:space="preserve">, </w:t>
            </w:r>
            <w:r w:rsidRPr="0028297A">
              <w:rPr>
                <w:rFonts w:ascii="Arial" w:hAnsi="Arial" w:cs="Arial"/>
                <w:sz w:val="22"/>
                <w:szCs w:val="22"/>
              </w:rPr>
              <w:t xml:space="preserve">los cuales empiezan a contar a partir de la suscripción del acta de inicio. </w:t>
            </w:r>
          </w:p>
          <w:p w14:paraId="793D3B30" w14:textId="060FF3A9" w:rsidR="00CB1457" w:rsidRPr="0028297A" w:rsidRDefault="00CB1457" w:rsidP="007426AF">
            <w:pPr>
              <w:jc w:val="both"/>
              <w:rPr>
                <w:rFonts w:ascii="Arial" w:hAnsi="Arial" w:cs="Arial"/>
                <w:sz w:val="22"/>
                <w:szCs w:val="22"/>
              </w:rPr>
            </w:pPr>
          </w:p>
          <w:p w14:paraId="0EE30986" w14:textId="72DD6AFB" w:rsidR="00CB1457" w:rsidRPr="0028297A" w:rsidRDefault="00CB1457" w:rsidP="007426AF">
            <w:pPr>
              <w:jc w:val="both"/>
              <w:rPr>
                <w:rFonts w:ascii="Arial" w:hAnsi="Arial" w:cs="Arial"/>
                <w:sz w:val="22"/>
                <w:szCs w:val="22"/>
              </w:rPr>
            </w:pPr>
            <w:r w:rsidRPr="0028297A">
              <w:rPr>
                <w:rFonts w:ascii="Arial" w:hAnsi="Arial" w:cs="Arial"/>
                <w:sz w:val="22"/>
                <w:szCs w:val="22"/>
              </w:rPr>
              <w:t>Para el pago se efectuará una vez presentado el correspondiente informe de actividades ejecutadas, cuenta de cobro, certificación de cumplimiento expedida por el supervisor y acreditar el pago de las obligaciones al Sistema de Seguridad Social Integral en cumplimiento de lo dispuesto en el artículo 23 de la Ley 1150 de 2007, artículo 50 de la Ley 789 de 2002, artículo 4º de la Ley 797 de 2003, el parágrafo 1º del artículo 1.2.4.1.16 del Decreto 1625 de 2016, demás normas que las adicionen, modifiquen o aclaren.</w:t>
            </w:r>
            <w:bookmarkEnd w:id="0"/>
          </w:p>
        </w:tc>
      </w:tr>
      <w:tr w:rsidR="00CB1457" w:rsidRPr="0028297A" w14:paraId="333759B7" w14:textId="77777777" w:rsidTr="00563B96">
        <w:tc>
          <w:tcPr>
            <w:tcW w:w="2978" w:type="dxa"/>
            <w:vAlign w:val="center"/>
          </w:tcPr>
          <w:p w14:paraId="577BB5BF" w14:textId="77777777" w:rsidR="00CB1457" w:rsidRPr="0028297A" w:rsidRDefault="00CB1457" w:rsidP="007426AF">
            <w:pPr>
              <w:rPr>
                <w:rFonts w:ascii="Arial" w:hAnsi="Arial" w:cs="Arial"/>
                <w:b/>
                <w:bCs/>
                <w:sz w:val="22"/>
                <w:szCs w:val="22"/>
              </w:rPr>
            </w:pPr>
            <w:r w:rsidRPr="0028297A">
              <w:rPr>
                <w:rFonts w:ascii="Arial" w:hAnsi="Arial" w:cs="Arial"/>
                <w:b/>
                <w:bCs/>
                <w:sz w:val="22"/>
                <w:szCs w:val="22"/>
              </w:rPr>
              <w:t>PLAZO</w:t>
            </w:r>
          </w:p>
        </w:tc>
        <w:tc>
          <w:tcPr>
            <w:tcW w:w="6378" w:type="dxa"/>
          </w:tcPr>
          <w:p w14:paraId="3FF849E3" w14:textId="1CD79162" w:rsidR="00CB1457" w:rsidRPr="0028297A" w:rsidRDefault="007D3EE4" w:rsidP="007426AF">
            <w:pPr>
              <w:jc w:val="both"/>
              <w:rPr>
                <w:rFonts w:ascii="Arial" w:hAnsi="Arial" w:cs="Arial"/>
                <w:sz w:val="22"/>
                <w:szCs w:val="22"/>
              </w:rPr>
            </w:pPr>
            <w:r>
              <w:rPr>
                <w:rFonts w:ascii="Arial" w:hAnsi="Arial" w:cs="Arial"/>
                <w:sz w:val="22"/>
                <w:szCs w:val="22"/>
                <w:highlight w:val="yellow"/>
              </w:rPr>
              <w:t>XXXXXXXXXXXXXX (XXXX</w:t>
            </w:r>
            <w:r w:rsidR="00073D8B" w:rsidRPr="00DD56F5">
              <w:rPr>
                <w:rFonts w:ascii="Arial" w:hAnsi="Arial" w:cs="Arial"/>
                <w:sz w:val="22"/>
                <w:szCs w:val="22"/>
                <w:highlight w:val="yellow"/>
              </w:rPr>
              <w:t>) DÍAS CALENDARIO CONTADOS A PARTIR</w:t>
            </w:r>
            <w:r w:rsidR="00073D8B" w:rsidRPr="0028297A">
              <w:rPr>
                <w:rFonts w:ascii="Arial" w:hAnsi="Arial" w:cs="Arial"/>
                <w:sz w:val="22"/>
                <w:szCs w:val="22"/>
              </w:rPr>
              <w:t xml:space="preserve"> DE LA SUSCRIPCIÓN DEL ACTA DE INICIO.</w:t>
            </w:r>
          </w:p>
        </w:tc>
      </w:tr>
      <w:tr w:rsidR="00CB1457" w:rsidRPr="0028297A" w14:paraId="49D7F404" w14:textId="77777777" w:rsidTr="00563B96">
        <w:tc>
          <w:tcPr>
            <w:tcW w:w="2978" w:type="dxa"/>
            <w:vAlign w:val="center"/>
          </w:tcPr>
          <w:p w14:paraId="6D79898F" w14:textId="45D55DF5" w:rsidR="00CB1457" w:rsidRPr="0028297A" w:rsidRDefault="00CB1457" w:rsidP="007426AF">
            <w:pPr>
              <w:jc w:val="both"/>
              <w:rPr>
                <w:rFonts w:ascii="Arial" w:hAnsi="Arial" w:cs="Arial"/>
                <w:b/>
                <w:sz w:val="22"/>
                <w:szCs w:val="22"/>
              </w:rPr>
            </w:pPr>
            <w:r w:rsidRPr="0028297A">
              <w:rPr>
                <w:rFonts w:ascii="Arial" w:hAnsi="Arial" w:cs="Arial"/>
                <w:b/>
                <w:bCs/>
                <w:sz w:val="22"/>
                <w:szCs w:val="22"/>
              </w:rPr>
              <w:t>SUPERVIS</w:t>
            </w:r>
            <w:r w:rsidR="005F2FB3" w:rsidRPr="0028297A">
              <w:rPr>
                <w:rFonts w:ascii="Arial" w:hAnsi="Arial" w:cs="Arial"/>
                <w:b/>
                <w:bCs/>
                <w:sz w:val="22"/>
                <w:szCs w:val="22"/>
              </w:rPr>
              <w:t xml:space="preserve">IÓN </w:t>
            </w:r>
          </w:p>
        </w:tc>
        <w:tc>
          <w:tcPr>
            <w:tcW w:w="6378" w:type="dxa"/>
          </w:tcPr>
          <w:p w14:paraId="76F9023E" w14:textId="58E29F3A" w:rsidR="003A305B" w:rsidRPr="0028297A" w:rsidRDefault="00CB1457" w:rsidP="007426AF">
            <w:pPr>
              <w:jc w:val="both"/>
              <w:rPr>
                <w:rFonts w:ascii="Arial" w:hAnsi="Arial" w:cs="Arial"/>
                <w:color w:val="auto"/>
                <w:sz w:val="22"/>
                <w:szCs w:val="22"/>
              </w:rPr>
            </w:pPr>
            <w:r w:rsidRPr="0028297A">
              <w:rPr>
                <w:rFonts w:ascii="Arial" w:hAnsi="Arial" w:cs="Arial"/>
                <w:sz w:val="22"/>
                <w:szCs w:val="22"/>
              </w:rPr>
              <w:t>Para efectos de la supervisión a que se refiere el presente contrato, se realizar</w:t>
            </w:r>
            <w:r w:rsidR="003A305B" w:rsidRPr="0028297A">
              <w:rPr>
                <w:rFonts w:ascii="Arial" w:hAnsi="Arial" w:cs="Arial"/>
                <w:sz w:val="22"/>
                <w:szCs w:val="22"/>
              </w:rPr>
              <w:t>á</w:t>
            </w:r>
            <w:r w:rsidRPr="0028297A">
              <w:rPr>
                <w:rFonts w:ascii="Arial" w:hAnsi="Arial" w:cs="Arial"/>
                <w:sz w:val="22"/>
                <w:szCs w:val="22"/>
              </w:rPr>
              <w:t xml:space="preserve"> por intermedio de la </w:t>
            </w:r>
            <w:r w:rsidR="003A305B" w:rsidRPr="0028297A">
              <w:rPr>
                <w:rFonts w:ascii="Arial" w:hAnsi="Arial" w:cs="Arial"/>
                <w:sz w:val="22"/>
                <w:szCs w:val="22"/>
              </w:rPr>
              <w:t xml:space="preserve">Dirección Técnica </w:t>
            </w:r>
            <w:r w:rsidR="003A305B" w:rsidRPr="0028297A">
              <w:rPr>
                <w:rFonts w:ascii="Arial" w:hAnsi="Arial" w:cs="Arial"/>
                <w:color w:val="auto"/>
                <w:sz w:val="22"/>
                <w:szCs w:val="22"/>
              </w:rPr>
              <w:t>o por quien designe el Ordenador del Gasto</w:t>
            </w:r>
            <w:r w:rsidR="003A305B" w:rsidRPr="0028297A">
              <w:rPr>
                <w:rFonts w:ascii="Arial" w:hAnsi="Arial" w:cs="Arial"/>
                <w:sz w:val="22"/>
                <w:szCs w:val="22"/>
              </w:rPr>
              <w:t xml:space="preserve"> de</w:t>
            </w:r>
            <w:r w:rsidRPr="0028297A">
              <w:rPr>
                <w:rFonts w:ascii="Arial" w:hAnsi="Arial" w:cs="Arial"/>
                <w:sz w:val="22"/>
                <w:szCs w:val="22"/>
              </w:rPr>
              <w:t xml:space="preserve"> </w:t>
            </w:r>
            <w:r w:rsidR="003A305B" w:rsidRPr="0028297A">
              <w:rPr>
                <w:rFonts w:ascii="Arial" w:hAnsi="Arial" w:cs="Arial"/>
                <w:sz w:val="22"/>
                <w:szCs w:val="22"/>
              </w:rPr>
              <w:t>la</w:t>
            </w:r>
            <w:r w:rsidRPr="0028297A">
              <w:rPr>
                <w:rFonts w:ascii="Arial" w:hAnsi="Arial" w:cs="Arial"/>
                <w:sz w:val="22"/>
                <w:szCs w:val="22"/>
              </w:rPr>
              <w:t xml:space="preserve"> EMPRESA DE</w:t>
            </w:r>
            <w:r w:rsidR="00AC7671" w:rsidRPr="0028297A">
              <w:rPr>
                <w:rFonts w:ascii="Arial" w:hAnsi="Arial" w:cs="Arial"/>
                <w:sz w:val="22"/>
                <w:szCs w:val="22"/>
              </w:rPr>
              <w:t>PARTAMENTAL DE</w:t>
            </w:r>
            <w:r w:rsidRPr="0028297A">
              <w:rPr>
                <w:rFonts w:ascii="Arial" w:hAnsi="Arial" w:cs="Arial"/>
                <w:sz w:val="22"/>
                <w:szCs w:val="22"/>
              </w:rPr>
              <w:t xml:space="preserve"> ACUEDUCTO, ALCANTARILLADO Y ASEO DEL TOLIMA EDAT S.A. E.S.P. O</w:t>
            </w:r>
            <w:r w:rsidR="005417D5" w:rsidRPr="0028297A">
              <w:rPr>
                <w:rFonts w:ascii="Arial" w:hAnsi="Arial" w:cs="Arial"/>
                <w:sz w:val="22"/>
                <w:szCs w:val="22"/>
              </w:rPr>
              <w:t>ficial</w:t>
            </w:r>
            <w:r w:rsidR="003A305B" w:rsidRPr="0028297A">
              <w:rPr>
                <w:rFonts w:ascii="Arial" w:hAnsi="Arial" w:cs="Arial"/>
                <w:sz w:val="22"/>
                <w:szCs w:val="22"/>
              </w:rPr>
              <w:t xml:space="preserve">, </w:t>
            </w:r>
            <w:r w:rsidR="00663004" w:rsidRPr="0028297A">
              <w:rPr>
                <w:rFonts w:ascii="Arial" w:hAnsi="Arial" w:cs="Arial"/>
                <w:color w:val="auto"/>
                <w:sz w:val="22"/>
                <w:szCs w:val="22"/>
              </w:rPr>
              <w:t xml:space="preserve">quién </w:t>
            </w:r>
            <w:r w:rsidR="00663004" w:rsidRPr="0028297A">
              <w:rPr>
                <w:rFonts w:ascii="Arial" w:hAnsi="Arial" w:cs="Arial"/>
                <w:sz w:val="22"/>
                <w:szCs w:val="22"/>
              </w:rPr>
              <w:t>tendrá a cargo la</w:t>
            </w:r>
            <w:r w:rsidR="00663004" w:rsidRPr="0028297A">
              <w:rPr>
                <w:rFonts w:ascii="Arial" w:hAnsi="Arial" w:cs="Arial"/>
                <w:color w:val="auto"/>
                <w:sz w:val="22"/>
                <w:szCs w:val="22"/>
              </w:rPr>
              <w:t xml:space="preserve"> vigilancia y control del cumplimiento de las obligaciones del presente estudio previo y será responsable de aprobar los pagos, los informes que presente </w:t>
            </w:r>
            <w:r w:rsidR="00C57FFC" w:rsidRPr="0028297A">
              <w:rPr>
                <w:rFonts w:ascii="Arial" w:hAnsi="Arial" w:cs="Arial"/>
                <w:color w:val="auto"/>
                <w:sz w:val="22"/>
                <w:szCs w:val="22"/>
              </w:rPr>
              <w:t>el</w:t>
            </w:r>
            <w:r w:rsidR="00663004" w:rsidRPr="0028297A">
              <w:rPr>
                <w:rFonts w:ascii="Arial" w:hAnsi="Arial" w:cs="Arial"/>
                <w:color w:val="auto"/>
                <w:sz w:val="22"/>
                <w:szCs w:val="22"/>
              </w:rPr>
              <w:t xml:space="preserve"> contratista de proyectar el acta de liquidación definitiva del contrato, cuando sea el caso, y en general cumplir con lo previsto en la normatividad vigente en la materia, en el Manual de Contratación y Manual de Interventoría y Supervisión de la Empresa.</w:t>
            </w:r>
            <w:r w:rsidR="003A305B" w:rsidRPr="0028297A">
              <w:rPr>
                <w:rFonts w:ascii="Arial" w:hAnsi="Arial" w:cs="Arial"/>
                <w:sz w:val="22"/>
                <w:szCs w:val="22"/>
              </w:rPr>
              <w:t xml:space="preserve"> </w:t>
            </w:r>
          </w:p>
        </w:tc>
      </w:tr>
      <w:tr w:rsidR="00CB1457" w:rsidRPr="0028297A" w14:paraId="48EAC62A" w14:textId="77777777" w:rsidTr="00563B96">
        <w:tc>
          <w:tcPr>
            <w:tcW w:w="2978" w:type="dxa"/>
            <w:vAlign w:val="center"/>
          </w:tcPr>
          <w:p w14:paraId="7CB92214" w14:textId="6897464E"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PERFECCIONAMIENTO Y REQUISITOS DE EJECUCI</w:t>
            </w:r>
            <w:r w:rsidR="00DB3C4F" w:rsidRPr="0028297A">
              <w:rPr>
                <w:rFonts w:ascii="Arial" w:hAnsi="Arial" w:cs="Arial"/>
                <w:b/>
                <w:bCs/>
                <w:sz w:val="22"/>
                <w:szCs w:val="22"/>
              </w:rPr>
              <w:t>Ó</w:t>
            </w:r>
            <w:r w:rsidRPr="0028297A">
              <w:rPr>
                <w:rFonts w:ascii="Arial" w:hAnsi="Arial" w:cs="Arial"/>
                <w:b/>
                <w:bCs/>
                <w:sz w:val="22"/>
                <w:szCs w:val="22"/>
              </w:rPr>
              <w:t xml:space="preserve">N </w:t>
            </w:r>
          </w:p>
        </w:tc>
        <w:tc>
          <w:tcPr>
            <w:tcW w:w="6378" w:type="dxa"/>
          </w:tcPr>
          <w:p w14:paraId="5F3A0AB7" w14:textId="77777777" w:rsidR="00CB1457" w:rsidRPr="0028297A" w:rsidRDefault="00CB1457" w:rsidP="007426AF">
            <w:pPr>
              <w:jc w:val="both"/>
              <w:rPr>
                <w:rFonts w:ascii="Arial" w:hAnsi="Arial" w:cs="Arial"/>
                <w:sz w:val="22"/>
                <w:szCs w:val="22"/>
              </w:rPr>
            </w:pPr>
            <w:r w:rsidRPr="0028297A">
              <w:rPr>
                <w:rFonts w:ascii="Arial" w:hAnsi="Arial" w:cs="Arial"/>
                <w:sz w:val="22"/>
                <w:szCs w:val="22"/>
              </w:rPr>
              <w:t xml:space="preserve">El contrato se entenderá perfeccionado con la firma de las partes. </w:t>
            </w:r>
          </w:p>
          <w:p w14:paraId="655D574B" w14:textId="6A736A6D" w:rsidR="00CB1457" w:rsidRPr="0028297A" w:rsidRDefault="005417D5" w:rsidP="007426AF">
            <w:pPr>
              <w:jc w:val="both"/>
              <w:rPr>
                <w:rFonts w:ascii="Arial" w:hAnsi="Arial" w:cs="Arial"/>
                <w:sz w:val="22"/>
                <w:szCs w:val="22"/>
              </w:rPr>
            </w:pPr>
            <w:r w:rsidRPr="0028297A">
              <w:rPr>
                <w:rFonts w:ascii="Arial" w:hAnsi="Arial" w:cs="Arial"/>
                <w:sz w:val="22"/>
                <w:szCs w:val="22"/>
              </w:rPr>
              <w:t xml:space="preserve">Conforme </w:t>
            </w:r>
            <w:r w:rsidR="006C4D0D" w:rsidRPr="0028297A">
              <w:rPr>
                <w:rFonts w:ascii="Arial" w:hAnsi="Arial" w:cs="Arial"/>
                <w:sz w:val="22"/>
                <w:szCs w:val="22"/>
              </w:rPr>
              <w:t>con</w:t>
            </w:r>
            <w:r w:rsidRPr="0028297A">
              <w:rPr>
                <w:rFonts w:ascii="Arial" w:hAnsi="Arial" w:cs="Arial"/>
                <w:sz w:val="22"/>
                <w:szCs w:val="22"/>
              </w:rPr>
              <w:t xml:space="preserve"> lo previsto en el artículo 2.2.1.1.2.3.1 del Decreto 1082 de 2015 y el artículo 41 de la Ley 80 de 1993 serán </w:t>
            </w:r>
            <w:r w:rsidRPr="0028297A">
              <w:rPr>
                <w:rFonts w:ascii="Arial" w:hAnsi="Arial" w:cs="Arial"/>
                <w:sz w:val="22"/>
                <w:szCs w:val="22"/>
              </w:rPr>
              <w:lastRenderedPageBreak/>
              <w:t xml:space="preserve">requisitos de ejecución: El Registro presupuestal, pago de impuestos departamentales, constitución </w:t>
            </w:r>
            <w:r w:rsidR="009A0624" w:rsidRPr="0028297A">
              <w:rPr>
                <w:rFonts w:ascii="Arial" w:hAnsi="Arial" w:cs="Arial"/>
                <w:sz w:val="22"/>
                <w:szCs w:val="22"/>
              </w:rPr>
              <w:t xml:space="preserve">y aprobación </w:t>
            </w:r>
            <w:r w:rsidRPr="0028297A">
              <w:rPr>
                <w:rFonts w:ascii="Arial" w:hAnsi="Arial" w:cs="Arial"/>
                <w:sz w:val="22"/>
                <w:szCs w:val="22"/>
              </w:rPr>
              <w:t>de garantías</w:t>
            </w:r>
            <w:r w:rsidR="009A0624" w:rsidRPr="0028297A">
              <w:rPr>
                <w:rFonts w:ascii="Arial" w:hAnsi="Arial" w:cs="Arial"/>
                <w:sz w:val="22"/>
                <w:szCs w:val="22"/>
              </w:rPr>
              <w:t>, así como</w:t>
            </w:r>
            <w:r w:rsidRPr="0028297A">
              <w:rPr>
                <w:rFonts w:ascii="Arial" w:hAnsi="Arial" w:cs="Arial"/>
                <w:sz w:val="22"/>
                <w:szCs w:val="22"/>
              </w:rPr>
              <w:t xml:space="preserve"> acreditar que se encuentran al día en el pago de aportes parafiscales relativos al Sistema de Seguridad Social Integral, así como los propios del Sena, ICBF y Cajas de Compensación Familiar.</w:t>
            </w:r>
          </w:p>
        </w:tc>
      </w:tr>
      <w:tr w:rsidR="00CB1457" w:rsidRPr="0028297A" w14:paraId="63BAE36B" w14:textId="77777777" w:rsidTr="00563B96">
        <w:tc>
          <w:tcPr>
            <w:tcW w:w="2978" w:type="dxa"/>
            <w:vAlign w:val="center"/>
          </w:tcPr>
          <w:p w14:paraId="71C12501" w14:textId="77777777"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lastRenderedPageBreak/>
              <w:t>INHABILIDADES E INCOMPATIBILIDADES</w:t>
            </w:r>
          </w:p>
        </w:tc>
        <w:tc>
          <w:tcPr>
            <w:tcW w:w="6378" w:type="dxa"/>
          </w:tcPr>
          <w:p w14:paraId="61E9DC72" w14:textId="1669CE6B" w:rsidR="00CB1457" w:rsidRPr="0028297A" w:rsidRDefault="00CB1457" w:rsidP="007426AF">
            <w:pPr>
              <w:jc w:val="both"/>
              <w:rPr>
                <w:rFonts w:ascii="Arial" w:hAnsi="Arial" w:cs="Arial"/>
                <w:sz w:val="22"/>
                <w:szCs w:val="22"/>
              </w:rPr>
            </w:pPr>
            <w:r w:rsidRPr="0028297A">
              <w:rPr>
                <w:rFonts w:ascii="Arial" w:hAnsi="Arial" w:cs="Arial"/>
                <w:sz w:val="22"/>
                <w:szCs w:val="22"/>
              </w:rPr>
              <w:t>A la fecha de la presentación de la oferta</w:t>
            </w:r>
            <w:r w:rsidR="00DB3C4F" w:rsidRPr="0028297A">
              <w:rPr>
                <w:rFonts w:ascii="Arial" w:hAnsi="Arial" w:cs="Arial"/>
                <w:sz w:val="22"/>
                <w:szCs w:val="22"/>
              </w:rPr>
              <w:t>, perfeccionamiento, ejecución y legalización del presente contrato, bajo gravedad de juramento de forma clara e inequívoca</w:t>
            </w:r>
            <w:r w:rsidRPr="0028297A">
              <w:rPr>
                <w:rFonts w:ascii="Arial" w:hAnsi="Arial" w:cs="Arial"/>
                <w:sz w:val="22"/>
                <w:szCs w:val="22"/>
              </w:rPr>
              <w:t>,</w:t>
            </w:r>
            <w:r w:rsidR="00DB3C4F" w:rsidRPr="0028297A">
              <w:rPr>
                <w:rFonts w:ascii="Arial" w:hAnsi="Arial" w:cs="Arial"/>
                <w:sz w:val="22"/>
                <w:szCs w:val="22"/>
              </w:rPr>
              <w:t xml:space="preserve"> </w:t>
            </w:r>
            <w:r w:rsidR="00A16AE7" w:rsidRPr="0028297A">
              <w:rPr>
                <w:rFonts w:ascii="Arial" w:hAnsi="Arial" w:cs="Arial"/>
                <w:sz w:val="22"/>
                <w:szCs w:val="22"/>
              </w:rPr>
              <w:t>el</w:t>
            </w:r>
            <w:r w:rsidR="00DB3C4F" w:rsidRPr="0028297A">
              <w:rPr>
                <w:rFonts w:ascii="Arial" w:hAnsi="Arial" w:cs="Arial"/>
                <w:sz w:val="22"/>
                <w:szCs w:val="22"/>
              </w:rPr>
              <w:t xml:space="preserve"> contratista </w:t>
            </w:r>
            <w:r w:rsidR="00D940A9" w:rsidRPr="0028297A">
              <w:rPr>
                <w:rFonts w:ascii="Arial" w:hAnsi="Arial" w:cs="Arial"/>
                <w:sz w:val="22"/>
                <w:szCs w:val="22"/>
              </w:rPr>
              <w:t>manifiesta</w:t>
            </w:r>
            <w:r w:rsidR="00DB3C4F" w:rsidRPr="0028297A">
              <w:rPr>
                <w:rFonts w:ascii="Arial" w:hAnsi="Arial" w:cs="Arial"/>
                <w:sz w:val="22"/>
                <w:szCs w:val="22"/>
              </w:rPr>
              <w:t xml:space="preserve"> no estar incurs</w:t>
            </w:r>
            <w:r w:rsidR="00A16AE7" w:rsidRPr="0028297A">
              <w:rPr>
                <w:rFonts w:ascii="Arial" w:hAnsi="Arial" w:cs="Arial"/>
                <w:sz w:val="22"/>
                <w:szCs w:val="22"/>
              </w:rPr>
              <w:t>o</w:t>
            </w:r>
            <w:r w:rsidR="00DB3C4F" w:rsidRPr="0028297A">
              <w:rPr>
                <w:rFonts w:ascii="Arial" w:hAnsi="Arial" w:cs="Arial"/>
                <w:sz w:val="22"/>
                <w:szCs w:val="22"/>
              </w:rPr>
              <w:t xml:space="preserve"> en </w:t>
            </w:r>
            <w:r w:rsidRPr="0028297A">
              <w:rPr>
                <w:rFonts w:ascii="Arial" w:hAnsi="Arial" w:cs="Arial"/>
                <w:sz w:val="22"/>
                <w:szCs w:val="22"/>
              </w:rPr>
              <w:t>ninguna de las causales de inhabilidad, incompatibilidad o prohibiciones establecidas por la Constitución y la ley,</w:t>
            </w:r>
            <w:r w:rsidR="00DB3C4F" w:rsidRPr="0028297A">
              <w:rPr>
                <w:rFonts w:ascii="Arial" w:hAnsi="Arial" w:cs="Arial"/>
                <w:sz w:val="22"/>
                <w:szCs w:val="22"/>
              </w:rPr>
              <w:t xml:space="preserve"> en especial las contempladas en el artículo 8 de la Ley 80 de 1993, </w:t>
            </w:r>
            <w:bookmarkStart w:id="1" w:name="_Hlk31975977"/>
            <w:r w:rsidR="00DB3C4F" w:rsidRPr="0028297A">
              <w:rPr>
                <w:rFonts w:ascii="Arial" w:hAnsi="Arial" w:cs="Arial"/>
                <w:sz w:val="22"/>
                <w:szCs w:val="22"/>
              </w:rPr>
              <w:t xml:space="preserve">en la Ley 1150 de 2007 y en la Ley 1474 de 2011, </w:t>
            </w:r>
            <w:r w:rsidRPr="0028297A">
              <w:rPr>
                <w:rFonts w:ascii="Arial" w:hAnsi="Arial" w:cs="Arial"/>
                <w:sz w:val="22"/>
                <w:szCs w:val="22"/>
              </w:rPr>
              <w:t>para contratar con entidades estatales</w:t>
            </w:r>
            <w:r w:rsidR="00DB3C4F" w:rsidRPr="0028297A">
              <w:rPr>
                <w:rFonts w:ascii="Arial" w:hAnsi="Arial" w:cs="Arial"/>
                <w:sz w:val="22"/>
                <w:szCs w:val="22"/>
              </w:rPr>
              <w:t>.</w:t>
            </w:r>
            <w:bookmarkEnd w:id="1"/>
          </w:p>
        </w:tc>
      </w:tr>
      <w:tr w:rsidR="00CB1457" w:rsidRPr="0028297A" w14:paraId="6E2F71F8" w14:textId="77777777" w:rsidTr="00563B96">
        <w:tc>
          <w:tcPr>
            <w:tcW w:w="2978" w:type="dxa"/>
          </w:tcPr>
          <w:p w14:paraId="13B37031" w14:textId="2315382C"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REQUISITOS DE LEGALIZACI</w:t>
            </w:r>
            <w:r w:rsidR="00DB3C4F" w:rsidRPr="0028297A">
              <w:rPr>
                <w:rFonts w:ascii="Arial" w:hAnsi="Arial" w:cs="Arial"/>
                <w:b/>
                <w:bCs/>
                <w:sz w:val="22"/>
                <w:szCs w:val="22"/>
              </w:rPr>
              <w:t>Ó</w:t>
            </w:r>
            <w:r w:rsidRPr="0028297A">
              <w:rPr>
                <w:rFonts w:ascii="Arial" w:hAnsi="Arial" w:cs="Arial"/>
                <w:b/>
                <w:bCs/>
                <w:sz w:val="22"/>
                <w:szCs w:val="22"/>
              </w:rPr>
              <w:t>N</w:t>
            </w:r>
          </w:p>
        </w:tc>
        <w:tc>
          <w:tcPr>
            <w:tcW w:w="6378" w:type="dxa"/>
          </w:tcPr>
          <w:p w14:paraId="65E3C5FD" w14:textId="120521C4" w:rsidR="00CB1457" w:rsidRPr="0028297A" w:rsidRDefault="005417D5" w:rsidP="007426AF">
            <w:pPr>
              <w:jc w:val="both"/>
              <w:rPr>
                <w:rFonts w:ascii="Arial" w:hAnsi="Arial" w:cs="Arial"/>
                <w:sz w:val="22"/>
                <w:szCs w:val="22"/>
              </w:rPr>
            </w:pPr>
            <w:r w:rsidRPr="0028297A">
              <w:rPr>
                <w:rFonts w:ascii="Arial" w:hAnsi="Arial" w:cs="Arial"/>
                <w:sz w:val="22"/>
                <w:szCs w:val="22"/>
              </w:rPr>
              <w:t>Expedición del registro presupuestal, pago de impuestos departamentales</w:t>
            </w:r>
            <w:r w:rsidR="009A0624" w:rsidRPr="0028297A">
              <w:rPr>
                <w:rFonts w:ascii="Arial" w:hAnsi="Arial" w:cs="Arial"/>
                <w:sz w:val="22"/>
                <w:szCs w:val="22"/>
              </w:rPr>
              <w:t xml:space="preserve">, </w:t>
            </w:r>
            <w:r w:rsidRPr="0028297A">
              <w:rPr>
                <w:rFonts w:ascii="Arial" w:hAnsi="Arial" w:cs="Arial"/>
                <w:sz w:val="22"/>
                <w:szCs w:val="22"/>
              </w:rPr>
              <w:t>constitución</w:t>
            </w:r>
            <w:r w:rsidR="009A0624" w:rsidRPr="0028297A">
              <w:rPr>
                <w:rFonts w:ascii="Arial" w:hAnsi="Arial" w:cs="Arial"/>
                <w:sz w:val="22"/>
                <w:szCs w:val="22"/>
              </w:rPr>
              <w:t xml:space="preserve"> y aprobación</w:t>
            </w:r>
            <w:r w:rsidRPr="0028297A">
              <w:rPr>
                <w:rFonts w:ascii="Arial" w:hAnsi="Arial" w:cs="Arial"/>
                <w:sz w:val="22"/>
                <w:szCs w:val="22"/>
              </w:rPr>
              <w:t xml:space="preserve"> de garantías.</w:t>
            </w:r>
          </w:p>
        </w:tc>
      </w:tr>
      <w:tr w:rsidR="00CB1457" w:rsidRPr="0028297A" w14:paraId="57D2126E" w14:textId="77777777" w:rsidTr="00563B96">
        <w:tc>
          <w:tcPr>
            <w:tcW w:w="2978" w:type="dxa"/>
          </w:tcPr>
          <w:p w14:paraId="2D3428FC" w14:textId="7C8FEEFB"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TIPOLOGÍA CONTRACTUAL</w:t>
            </w:r>
          </w:p>
        </w:tc>
        <w:tc>
          <w:tcPr>
            <w:tcW w:w="6378" w:type="dxa"/>
            <w:vAlign w:val="center"/>
          </w:tcPr>
          <w:p w14:paraId="451528FC" w14:textId="4679B269" w:rsidR="00CB1457" w:rsidRPr="0028297A" w:rsidRDefault="00CB1457" w:rsidP="00D54824">
            <w:pPr>
              <w:rPr>
                <w:rFonts w:ascii="Arial" w:hAnsi="Arial" w:cs="Arial"/>
                <w:sz w:val="22"/>
                <w:szCs w:val="22"/>
              </w:rPr>
            </w:pPr>
            <w:r w:rsidRPr="0028297A">
              <w:rPr>
                <w:rFonts w:ascii="Arial" w:hAnsi="Arial" w:cs="Arial"/>
                <w:sz w:val="22"/>
                <w:szCs w:val="22"/>
              </w:rPr>
              <w:t xml:space="preserve">PRESTACIÓN DE SERVICIOS </w:t>
            </w:r>
            <w:r w:rsidR="006C0E0D">
              <w:rPr>
                <w:rFonts w:ascii="Arial" w:hAnsi="Arial" w:cs="Arial"/>
                <w:sz w:val="22"/>
                <w:szCs w:val="22"/>
              </w:rPr>
              <w:t>DE APOYO A LA GESTIÓN</w:t>
            </w:r>
          </w:p>
        </w:tc>
      </w:tr>
      <w:tr w:rsidR="00CB1457" w:rsidRPr="0028297A" w14:paraId="5BDBD43C" w14:textId="77777777" w:rsidTr="00563B96">
        <w:tc>
          <w:tcPr>
            <w:tcW w:w="2978" w:type="dxa"/>
            <w:vAlign w:val="center"/>
          </w:tcPr>
          <w:p w14:paraId="3119D95B" w14:textId="26C40ECD" w:rsidR="00CB1457" w:rsidRPr="0028297A" w:rsidRDefault="00CB1457" w:rsidP="007426AF">
            <w:pPr>
              <w:jc w:val="both"/>
              <w:rPr>
                <w:rFonts w:ascii="Arial" w:hAnsi="Arial" w:cs="Arial"/>
                <w:b/>
                <w:bCs/>
                <w:sz w:val="22"/>
                <w:szCs w:val="22"/>
              </w:rPr>
            </w:pPr>
            <w:bookmarkStart w:id="2" w:name="_Hlk278043"/>
            <w:r w:rsidRPr="0028297A">
              <w:rPr>
                <w:rFonts w:ascii="Arial" w:hAnsi="Arial" w:cs="Arial"/>
                <w:b/>
                <w:bCs/>
                <w:sz w:val="22"/>
                <w:szCs w:val="22"/>
              </w:rPr>
              <w:t>OBLIGACIONES ESPEC</w:t>
            </w:r>
            <w:r w:rsidR="00FA438C" w:rsidRPr="0028297A">
              <w:rPr>
                <w:rFonts w:ascii="Arial" w:hAnsi="Arial" w:cs="Arial"/>
                <w:b/>
                <w:bCs/>
                <w:sz w:val="22"/>
                <w:szCs w:val="22"/>
              </w:rPr>
              <w:t>Í</w:t>
            </w:r>
            <w:r w:rsidRPr="0028297A">
              <w:rPr>
                <w:rFonts w:ascii="Arial" w:hAnsi="Arial" w:cs="Arial"/>
                <w:b/>
                <w:bCs/>
                <w:sz w:val="22"/>
                <w:szCs w:val="22"/>
              </w:rPr>
              <w:t>FICAS DEL CONTRATISTA</w:t>
            </w:r>
          </w:p>
        </w:tc>
        <w:tc>
          <w:tcPr>
            <w:tcW w:w="6378" w:type="dxa"/>
          </w:tcPr>
          <w:p w14:paraId="5709785D" w14:textId="21B06E23" w:rsidR="00176EC3" w:rsidRPr="00DD56F5" w:rsidRDefault="00176EC3" w:rsidP="00DD56F5">
            <w:pPr>
              <w:jc w:val="both"/>
              <w:rPr>
                <w:rFonts w:ascii="Arial" w:hAnsi="Arial" w:cs="Arial"/>
                <w:sz w:val="22"/>
                <w:szCs w:val="22"/>
              </w:rPr>
            </w:pPr>
            <w:bookmarkStart w:id="3" w:name="_Hlk64713716"/>
          </w:p>
          <w:p w14:paraId="578D1E9A" w14:textId="6F662DC7" w:rsidR="00CB1457" w:rsidRPr="00216FEF" w:rsidRDefault="00EE6E98" w:rsidP="00216FEF">
            <w:pPr>
              <w:pStyle w:val="Prrafodelista"/>
              <w:jc w:val="both"/>
              <w:rPr>
                <w:rFonts w:ascii="Arial" w:hAnsi="Arial" w:cs="Arial"/>
                <w:sz w:val="22"/>
                <w:szCs w:val="22"/>
              </w:rPr>
            </w:pPr>
            <w:r w:rsidRPr="00216FEF">
              <w:rPr>
                <w:rFonts w:ascii="Arial" w:hAnsi="Arial" w:cs="Arial"/>
                <w:sz w:val="22"/>
                <w:szCs w:val="22"/>
              </w:rPr>
              <w:t>.</w:t>
            </w:r>
            <w:bookmarkEnd w:id="3"/>
          </w:p>
        </w:tc>
      </w:tr>
      <w:bookmarkEnd w:id="2"/>
      <w:tr w:rsidR="00CB1457" w:rsidRPr="0028297A" w14:paraId="20AB0852" w14:textId="77777777" w:rsidTr="00563B96">
        <w:tc>
          <w:tcPr>
            <w:tcW w:w="2978" w:type="dxa"/>
            <w:vAlign w:val="center"/>
          </w:tcPr>
          <w:p w14:paraId="1B69D6EB" w14:textId="788991AC" w:rsidR="00CB1457" w:rsidRPr="0028297A" w:rsidRDefault="00CB1457" w:rsidP="007426AF">
            <w:pPr>
              <w:jc w:val="both"/>
              <w:rPr>
                <w:rFonts w:ascii="Arial" w:hAnsi="Arial" w:cs="Arial"/>
                <w:b/>
                <w:bCs/>
                <w:sz w:val="22"/>
                <w:szCs w:val="22"/>
              </w:rPr>
            </w:pPr>
            <w:r w:rsidRPr="0028297A">
              <w:rPr>
                <w:rFonts w:ascii="Arial" w:hAnsi="Arial" w:cs="Arial"/>
                <w:b/>
                <w:bCs/>
                <w:sz w:val="22"/>
                <w:szCs w:val="22"/>
              </w:rPr>
              <w:t>OBLIGACIONES GENERALES DEL CONTRATISTA</w:t>
            </w:r>
          </w:p>
        </w:tc>
        <w:tc>
          <w:tcPr>
            <w:tcW w:w="6378" w:type="dxa"/>
          </w:tcPr>
          <w:p w14:paraId="299DAAB7" w14:textId="2D27156D" w:rsidR="00CB1457" w:rsidRPr="007D3EE4" w:rsidRDefault="009D69F1" w:rsidP="007D3EE4">
            <w:pPr>
              <w:widowControl/>
              <w:autoSpaceDE w:val="0"/>
              <w:autoSpaceDN w:val="0"/>
              <w:adjustRightInd w:val="0"/>
              <w:jc w:val="both"/>
              <w:rPr>
                <w:rFonts w:ascii="Arial" w:hAnsi="Arial" w:cs="Arial"/>
                <w:sz w:val="22"/>
                <w:szCs w:val="22"/>
              </w:rPr>
            </w:pPr>
            <w:r w:rsidRPr="007D3EE4">
              <w:rPr>
                <w:rFonts w:ascii="Arial" w:hAnsi="Arial" w:cs="Arial"/>
                <w:sz w:val="22"/>
                <w:szCs w:val="22"/>
                <w:lang w:val="es-CO"/>
              </w:rPr>
              <w:t xml:space="preserve"> </w:t>
            </w:r>
          </w:p>
        </w:tc>
      </w:tr>
      <w:tr w:rsidR="00CB1457" w:rsidRPr="0028297A" w14:paraId="4B9A7534" w14:textId="77777777" w:rsidTr="00563B96">
        <w:tc>
          <w:tcPr>
            <w:tcW w:w="9356" w:type="dxa"/>
            <w:gridSpan w:val="2"/>
            <w:shd w:val="clear" w:color="auto" w:fill="B8CCE4" w:themeFill="accent1" w:themeFillTint="66"/>
          </w:tcPr>
          <w:p w14:paraId="10709F43" w14:textId="51DF67D6" w:rsidR="00CB1457" w:rsidRPr="0028297A" w:rsidRDefault="00CB1457" w:rsidP="007426AF">
            <w:pPr>
              <w:jc w:val="center"/>
              <w:rPr>
                <w:rFonts w:ascii="Arial" w:hAnsi="Arial" w:cs="Arial"/>
                <w:b/>
                <w:bCs/>
                <w:sz w:val="22"/>
                <w:szCs w:val="22"/>
              </w:rPr>
            </w:pPr>
            <w:r w:rsidRPr="0028297A">
              <w:rPr>
                <w:rFonts w:ascii="Arial" w:hAnsi="Arial" w:cs="Arial"/>
                <w:b/>
                <w:bCs/>
                <w:sz w:val="22"/>
                <w:szCs w:val="22"/>
              </w:rPr>
              <w:t xml:space="preserve">JUSTIFICACIÓN </w:t>
            </w:r>
            <w:r w:rsidR="000C62C7" w:rsidRPr="0028297A">
              <w:rPr>
                <w:rFonts w:ascii="Arial" w:hAnsi="Arial" w:cs="Arial"/>
                <w:b/>
                <w:bCs/>
                <w:sz w:val="22"/>
                <w:szCs w:val="22"/>
              </w:rPr>
              <w:t xml:space="preserve">Y </w:t>
            </w:r>
            <w:r w:rsidRPr="0028297A">
              <w:rPr>
                <w:rFonts w:ascii="Arial" w:hAnsi="Arial" w:cs="Arial"/>
                <w:b/>
                <w:bCs/>
                <w:sz w:val="22"/>
                <w:szCs w:val="22"/>
              </w:rPr>
              <w:t>FUNDAMENTOS JURÍDICOS QUE SOPORTAN LA MODALIDAD DE SELECCIÓN</w:t>
            </w:r>
          </w:p>
        </w:tc>
      </w:tr>
      <w:tr w:rsidR="00CB1457" w:rsidRPr="0028297A" w14:paraId="103674DD" w14:textId="77777777" w:rsidTr="00563B96">
        <w:tc>
          <w:tcPr>
            <w:tcW w:w="9356" w:type="dxa"/>
            <w:gridSpan w:val="2"/>
          </w:tcPr>
          <w:p w14:paraId="2F8AE0EC" w14:textId="0D8ADE77" w:rsidR="00CB1457" w:rsidRPr="0028297A" w:rsidRDefault="00CB1457" w:rsidP="007426AF">
            <w:pPr>
              <w:autoSpaceDE w:val="0"/>
              <w:autoSpaceDN w:val="0"/>
              <w:adjustRightInd w:val="0"/>
              <w:jc w:val="both"/>
              <w:rPr>
                <w:rFonts w:ascii="Arial" w:hAnsi="Arial" w:cs="Arial"/>
                <w:bCs/>
                <w:sz w:val="22"/>
                <w:szCs w:val="22"/>
              </w:rPr>
            </w:pPr>
            <w:r w:rsidRPr="0028297A">
              <w:rPr>
                <w:rFonts w:ascii="Arial" w:hAnsi="Arial" w:cs="Arial"/>
                <w:bCs/>
                <w:sz w:val="22"/>
                <w:szCs w:val="22"/>
              </w:rPr>
              <w:t>La modalidad de selección del contratista se realiza a través de contratación directa, de conformidad con lo expuesto en el numeral 3 artículo 32</w:t>
            </w:r>
            <w:r w:rsidRPr="0028297A">
              <w:rPr>
                <w:rStyle w:val="Refdenotaalpie"/>
                <w:rFonts w:ascii="Arial" w:hAnsi="Arial" w:cs="Arial"/>
                <w:sz w:val="22"/>
                <w:szCs w:val="22"/>
              </w:rPr>
              <w:footnoteReference w:id="3"/>
            </w:r>
            <w:r w:rsidRPr="0028297A">
              <w:rPr>
                <w:rFonts w:ascii="Arial" w:hAnsi="Arial" w:cs="Arial"/>
                <w:bCs/>
                <w:sz w:val="22"/>
                <w:szCs w:val="22"/>
              </w:rPr>
              <w:t xml:space="preserve"> de la </w:t>
            </w:r>
            <w:r w:rsidR="00F1417A" w:rsidRPr="0028297A">
              <w:rPr>
                <w:rFonts w:ascii="Arial" w:hAnsi="Arial" w:cs="Arial"/>
                <w:bCs/>
                <w:sz w:val="22"/>
                <w:szCs w:val="22"/>
              </w:rPr>
              <w:t>L</w:t>
            </w:r>
            <w:r w:rsidRPr="0028297A">
              <w:rPr>
                <w:rFonts w:ascii="Arial" w:hAnsi="Arial" w:cs="Arial"/>
                <w:bCs/>
                <w:sz w:val="22"/>
                <w:szCs w:val="22"/>
              </w:rPr>
              <w:t xml:space="preserve">ey 80 de 1993, literal h del </w:t>
            </w:r>
            <w:r w:rsidRPr="0028297A">
              <w:rPr>
                <w:rFonts w:ascii="Arial" w:hAnsi="Arial" w:cs="Arial"/>
                <w:bCs/>
                <w:sz w:val="22"/>
                <w:szCs w:val="22"/>
              </w:rPr>
              <w:lastRenderedPageBreak/>
              <w:t>numeral 4 del artículo 2</w:t>
            </w:r>
            <w:r w:rsidRPr="0028297A">
              <w:rPr>
                <w:rStyle w:val="Refdenotaalpie"/>
                <w:rFonts w:ascii="Arial" w:hAnsi="Arial" w:cs="Arial"/>
                <w:sz w:val="22"/>
                <w:szCs w:val="22"/>
              </w:rPr>
              <w:footnoteReference w:id="4"/>
            </w:r>
            <w:r w:rsidRPr="0028297A">
              <w:rPr>
                <w:rFonts w:ascii="Arial" w:hAnsi="Arial" w:cs="Arial"/>
                <w:bCs/>
                <w:sz w:val="22"/>
                <w:szCs w:val="22"/>
              </w:rPr>
              <w:t xml:space="preserve"> de la Ley 1150 de 2007, y el artículo 2.2.1.2.1.4.9 </w:t>
            </w:r>
            <w:r w:rsidRPr="0028297A">
              <w:rPr>
                <w:rStyle w:val="Refdenotaalpie"/>
                <w:rFonts w:ascii="Arial" w:hAnsi="Arial" w:cs="Arial"/>
                <w:sz w:val="22"/>
                <w:szCs w:val="22"/>
              </w:rPr>
              <w:footnoteReference w:id="5"/>
            </w:r>
            <w:r w:rsidRPr="0028297A">
              <w:rPr>
                <w:rFonts w:ascii="Arial" w:hAnsi="Arial" w:cs="Arial"/>
                <w:bCs/>
                <w:sz w:val="22"/>
                <w:szCs w:val="22"/>
              </w:rPr>
              <w:t xml:space="preserve"> del Decreto 1082 de 2015, en razón a la naturaleza del objeto a contratar y</w:t>
            </w:r>
            <w:r w:rsidR="00CA7622" w:rsidRPr="0028297A">
              <w:rPr>
                <w:rFonts w:ascii="Arial" w:hAnsi="Arial" w:cs="Arial"/>
                <w:bCs/>
                <w:sz w:val="22"/>
                <w:szCs w:val="22"/>
              </w:rPr>
              <w:t xml:space="preserve"> </w:t>
            </w:r>
            <w:r w:rsidRPr="0028297A">
              <w:rPr>
                <w:rFonts w:ascii="Arial" w:hAnsi="Arial" w:cs="Arial"/>
                <w:bCs/>
                <w:sz w:val="22"/>
                <w:szCs w:val="22"/>
              </w:rPr>
              <w:t xml:space="preserve">por </w:t>
            </w:r>
            <w:r w:rsidR="007426AF" w:rsidRPr="0028297A">
              <w:rPr>
                <w:rFonts w:ascii="Arial" w:hAnsi="Arial" w:cs="Arial"/>
                <w:bCs/>
                <w:sz w:val="22"/>
                <w:szCs w:val="22"/>
              </w:rPr>
              <w:t>enmarcarse en</w:t>
            </w:r>
            <w:r w:rsidRPr="0028297A">
              <w:rPr>
                <w:rFonts w:ascii="Arial" w:hAnsi="Arial" w:cs="Arial"/>
                <w:bCs/>
                <w:sz w:val="22"/>
                <w:szCs w:val="22"/>
              </w:rPr>
              <w:t xml:space="preserve"> la tipología de un contrato de Prestación de Servicios</w:t>
            </w:r>
            <w:r w:rsidR="004C0118" w:rsidRPr="0028297A">
              <w:rPr>
                <w:rFonts w:ascii="Arial" w:hAnsi="Arial" w:cs="Arial"/>
                <w:bCs/>
                <w:sz w:val="22"/>
                <w:szCs w:val="22"/>
              </w:rPr>
              <w:t xml:space="preserve"> </w:t>
            </w:r>
            <w:r w:rsidR="006C0E0D">
              <w:rPr>
                <w:rFonts w:ascii="Arial" w:hAnsi="Arial" w:cs="Arial"/>
                <w:bCs/>
                <w:sz w:val="22"/>
                <w:szCs w:val="22"/>
              </w:rPr>
              <w:t>de Apoyo a  la Gestión.</w:t>
            </w:r>
          </w:p>
          <w:p w14:paraId="7DE37866" w14:textId="2477F388" w:rsidR="00CB1457" w:rsidRPr="0028297A" w:rsidRDefault="00CB1457" w:rsidP="007426AF">
            <w:pPr>
              <w:autoSpaceDE w:val="0"/>
              <w:autoSpaceDN w:val="0"/>
              <w:adjustRightInd w:val="0"/>
              <w:jc w:val="both"/>
              <w:rPr>
                <w:rFonts w:ascii="Arial" w:hAnsi="Arial" w:cs="Arial"/>
                <w:bCs/>
                <w:sz w:val="22"/>
                <w:szCs w:val="22"/>
              </w:rPr>
            </w:pPr>
          </w:p>
          <w:p w14:paraId="0F5D8ED5" w14:textId="46FF7A53" w:rsidR="00CA7622" w:rsidRPr="0028297A" w:rsidRDefault="00CA7622" w:rsidP="007426AF">
            <w:pPr>
              <w:shd w:val="clear" w:color="auto" w:fill="FFFFFF"/>
              <w:jc w:val="both"/>
              <w:rPr>
                <w:rFonts w:ascii="Arial" w:hAnsi="Arial" w:cs="Arial"/>
                <w:i/>
                <w:color w:val="333333"/>
                <w:sz w:val="22"/>
                <w:szCs w:val="22"/>
              </w:rPr>
            </w:pPr>
            <w:r w:rsidRPr="0028297A">
              <w:rPr>
                <w:rFonts w:ascii="Arial" w:hAnsi="Arial" w:cs="Arial"/>
                <w:bCs/>
                <w:iCs/>
                <w:sz w:val="22"/>
                <w:szCs w:val="22"/>
              </w:rPr>
              <w:t xml:space="preserve">El contrato de prestación de servicios </w:t>
            </w:r>
            <w:r w:rsidR="004C0118" w:rsidRPr="0028297A">
              <w:rPr>
                <w:rFonts w:ascii="Arial" w:hAnsi="Arial" w:cs="Arial"/>
                <w:bCs/>
                <w:iCs/>
                <w:sz w:val="22"/>
                <w:szCs w:val="22"/>
              </w:rPr>
              <w:t>profesionales</w:t>
            </w:r>
            <w:r w:rsidR="00A667DD" w:rsidRPr="0028297A">
              <w:rPr>
                <w:rFonts w:ascii="Arial" w:hAnsi="Arial" w:cs="Arial"/>
                <w:bCs/>
                <w:iCs/>
                <w:sz w:val="22"/>
                <w:szCs w:val="22"/>
              </w:rPr>
              <w:t xml:space="preserve"> </w:t>
            </w:r>
            <w:r w:rsidRPr="0028297A">
              <w:rPr>
                <w:rFonts w:ascii="Arial" w:hAnsi="Arial" w:cs="Arial"/>
                <w:bCs/>
                <w:iCs/>
                <w:sz w:val="22"/>
                <w:szCs w:val="22"/>
              </w:rPr>
              <w:t>se define en el artículo 2.2.1.2.1.4.9 del Decreto 1082 de 2015 como</w:t>
            </w:r>
            <w:r w:rsidRPr="0028297A">
              <w:rPr>
                <w:rFonts w:ascii="Arial" w:hAnsi="Arial" w:cs="Arial"/>
                <w:bCs/>
                <w:i/>
                <w:sz w:val="22"/>
                <w:szCs w:val="22"/>
              </w:rPr>
              <w:t xml:space="preserve"> “</w:t>
            </w:r>
            <w:r w:rsidRPr="0028297A">
              <w:rPr>
                <w:rFonts w:ascii="Arial" w:hAnsi="Arial" w:cs="Arial"/>
                <w:bCs/>
                <w:i/>
                <w:iCs/>
                <w:color w:val="333333"/>
                <w:sz w:val="22"/>
                <w:szCs w:val="22"/>
              </w:rPr>
              <w:t>Contratos de prestación de servicios profesionales y de apoyo a la gestión, o para la ejecución de trabajos artísticos que solo pueden encomendarse a determinadas personas naturales.</w:t>
            </w:r>
            <w:r w:rsidRPr="0028297A">
              <w:rPr>
                <w:rFonts w:ascii="Arial" w:hAnsi="Arial" w:cs="Arial"/>
                <w:i/>
                <w:iCs/>
                <w:color w:val="333333"/>
                <w:sz w:val="22"/>
                <w:szCs w:val="22"/>
              </w:rPr>
              <w:t> </w:t>
            </w:r>
            <w:r w:rsidRPr="0028297A">
              <w:rPr>
                <w:rFonts w:ascii="Arial" w:hAnsi="Arial" w:cs="Arial"/>
                <w:i/>
                <w:color w:val="333333"/>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sidR="003A305B" w:rsidRPr="0028297A">
              <w:rPr>
                <w:rFonts w:ascii="Arial" w:hAnsi="Arial" w:cs="Arial"/>
                <w:i/>
                <w:color w:val="333333"/>
                <w:sz w:val="22"/>
                <w:szCs w:val="22"/>
              </w:rPr>
              <w:t xml:space="preserve"> </w:t>
            </w:r>
            <w:r w:rsidRPr="0028297A">
              <w:rPr>
                <w:rFonts w:ascii="Arial" w:hAnsi="Arial" w:cs="Arial"/>
                <w:i/>
                <w:color w:val="333333"/>
                <w:sz w:val="22"/>
                <w:szCs w:val="22"/>
              </w:rPr>
              <w:t xml:space="preserve">(…)”. </w:t>
            </w:r>
          </w:p>
          <w:p w14:paraId="446A09F1" w14:textId="213692BE" w:rsidR="00CA7622" w:rsidRPr="0028297A" w:rsidRDefault="00CA7622" w:rsidP="007426AF">
            <w:pPr>
              <w:shd w:val="clear" w:color="auto" w:fill="FFFFFF"/>
              <w:jc w:val="both"/>
              <w:rPr>
                <w:rFonts w:ascii="Arial" w:hAnsi="Arial" w:cs="Arial"/>
                <w:i/>
                <w:color w:val="333333"/>
                <w:sz w:val="22"/>
                <w:szCs w:val="22"/>
              </w:rPr>
            </w:pPr>
          </w:p>
          <w:p w14:paraId="63E81DA8" w14:textId="1A2E30E3" w:rsidR="003A305B" w:rsidRPr="0028297A" w:rsidRDefault="007426AF" w:rsidP="007426AF">
            <w:pPr>
              <w:jc w:val="both"/>
              <w:rPr>
                <w:rFonts w:ascii="Arial" w:hAnsi="Arial" w:cs="Arial"/>
                <w:bCs/>
                <w:iCs/>
                <w:sz w:val="22"/>
                <w:szCs w:val="22"/>
                <w:lang w:val="es-CO"/>
              </w:rPr>
            </w:pPr>
            <w:r w:rsidRPr="0028297A">
              <w:rPr>
                <w:rFonts w:ascii="Arial" w:hAnsi="Arial" w:cs="Arial"/>
                <w:bCs/>
                <w:iCs/>
                <w:sz w:val="22"/>
                <w:szCs w:val="22"/>
                <w:lang w:val="es-CO"/>
              </w:rPr>
              <w:t>La contratación por adelantar</w:t>
            </w:r>
            <w:r w:rsidR="003A305B" w:rsidRPr="0028297A">
              <w:rPr>
                <w:rFonts w:ascii="Arial" w:hAnsi="Arial" w:cs="Arial"/>
                <w:bCs/>
                <w:iCs/>
                <w:sz w:val="22"/>
                <w:szCs w:val="22"/>
                <w:lang w:val="es-CO"/>
              </w:rPr>
              <w:t xml:space="preserve"> se encuentra contenida en el Plan Anual de Adquisiciones para la correspondiente vigencia, la cual se puede ubicar con el siguiente código UNSPSC y descripción:</w:t>
            </w:r>
          </w:p>
          <w:p w14:paraId="07F2E007" w14:textId="77777777" w:rsidR="009D05E8" w:rsidRPr="0028297A" w:rsidRDefault="009D05E8" w:rsidP="007426AF">
            <w:pPr>
              <w:jc w:val="both"/>
              <w:rPr>
                <w:rFonts w:ascii="Arial" w:hAnsi="Arial" w:cs="Arial"/>
                <w:b/>
                <w:sz w:val="22"/>
                <w:szCs w:val="22"/>
                <w:lang w:val="es-CO"/>
              </w:rPr>
            </w:pPr>
          </w:p>
          <w:tbl>
            <w:tblPr>
              <w:tblW w:w="3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4096"/>
            </w:tblGrid>
            <w:tr w:rsidR="003A305B" w:rsidRPr="0028297A" w14:paraId="215ABE8F" w14:textId="77777777" w:rsidTr="00113B0F">
              <w:trPr>
                <w:trHeight w:val="183"/>
                <w:jc w:val="center"/>
              </w:trPr>
              <w:tc>
                <w:tcPr>
                  <w:tcW w:w="1772" w:type="pct"/>
                  <w:shd w:val="clear" w:color="auto" w:fill="B8CCE4" w:themeFill="accent1" w:themeFillTint="66"/>
                  <w:vAlign w:val="center"/>
                </w:tcPr>
                <w:p w14:paraId="0D56E01A" w14:textId="77777777" w:rsidR="003A305B" w:rsidRPr="0028297A" w:rsidRDefault="003A305B" w:rsidP="007426AF">
                  <w:pPr>
                    <w:jc w:val="center"/>
                    <w:rPr>
                      <w:rFonts w:ascii="Arial" w:hAnsi="Arial" w:cs="Arial"/>
                      <w:b/>
                      <w:sz w:val="18"/>
                      <w:szCs w:val="18"/>
                      <w:lang w:val="es-CO"/>
                    </w:rPr>
                  </w:pPr>
                  <w:r w:rsidRPr="0028297A">
                    <w:rPr>
                      <w:rFonts w:ascii="Arial" w:hAnsi="Arial" w:cs="Arial"/>
                      <w:b/>
                      <w:sz w:val="18"/>
                      <w:szCs w:val="18"/>
                      <w:lang w:val="es-CO"/>
                    </w:rPr>
                    <w:t>Código UNSPSC</w:t>
                  </w:r>
                </w:p>
              </w:tc>
              <w:tc>
                <w:tcPr>
                  <w:tcW w:w="3228" w:type="pct"/>
                  <w:shd w:val="clear" w:color="auto" w:fill="B8CCE4" w:themeFill="accent1" w:themeFillTint="66"/>
                  <w:vAlign w:val="center"/>
                </w:tcPr>
                <w:p w14:paraId="58DFEB82" w14:textId="77777777" w:rsidR="003A305B" w:rsidRPr="0028297A" w:rsidRDefault="003A305B" w:rsidP="007426AF">
                  <w:pPr>
                    <w:jc w:val="center"/>
                    <w:rPr>
                      <w:rFonts w:ascii="Arial" w:hAnsi="Arial" w:cs="Arial"/>
                      <w:b/>
                      <w:sz w:val="18"/>
                      <w:szCs w:val="18"/>
                      <w:lang w:val="es-CO"/>
                    </w:rPr>
                  </w:pPr>
                  <w:r w:rsidRPr="0028297A">
                    <w:rPr>
                      <w:rFonts w:ascii="Arial" w:hAnsi="Arial" w:cs="Arial"/>
                      <w:b/>
                      <w:sz w:val="18"/>
                      <w:szCs w:val="18"/>
                      <w:lang w:val="es-CO"/>
                    </w:rPr>
                    <w:t>Descripción</w:t>
                  </w:r>
                </w:p>
              </w:tc>
            </w:tr>
            <w:tr w:rsidR="003A305B" w:rsidRPr="0028297A" w14:paraId="5D5EE451" w14:textId="77777777" w:rsidTr="00113B0F">
              <w:trPr>
                <w:trHeight w:val="343"/>
                <w:jc w:val="center"/>
              </w:trPr>
              <w:tc>
                <w:tcPr>
                  <w:tcW w:w="1772" w:type="pct"/>
                  <w:shd w:val="clear" w:color="auto" w:fill="auto"/>
                  <w:vAlign w:val="center"/>
                </w:tcPr>
                <w:p w14:paraId="314D2FBE" w14:textId="759A1057" w:rsidR="0079474A" w:rsidRPr="0028297A" w:rsidRDefault="004C0118" w:rsidP="000571C1">
                  <w:pPr>
                    <w:pStyle w:val="Sinespaciado"/>
                    <w:jc w:val="center"/>
                    <w:rPr>
                      <w:rFonts w:ascii="Arial" w:hAnsi="Arial" w:cs="Arial"/>
                      <w:bCs/>
                      <w:sz w:val="18"/>
                      <w:szCs w:val="18"/>
                    </w:rPr>
                  </w:pPr>
                  <w:r w:rsidRPr="0028297A">
                    <w:rPr>
                      <w:rFonts w:ascii="Arial" w:hAnsi="Arial" w:cs="Arial"/>
                      <w:bCs/>
                      <w:sz w:val="18"/>
                      <w:szCs w:val="18"/>
                    </w:rPr>
                    <w:t>811</w:t>
                  </w:r>
                  <w:r w:rsidR="000571C1">
                    <w:rPr>
                      <w:rFonts w:ascii="Arial" w:hAnsi="Arial" w:cs="Arial"/>
                      <w:bCs/>
                      <w:sz w:val="18"/>
                      <w:szCs w:val="18"/>
                    </w:rPr>
                    <w:t>51601</w:t>
                  </w:r>
                </w:p>
              </w:tc>
              <w:tc>
                <w:tcPr>
                  <w:tcW w:w="3228" w:type="pct"/>
                  <w:shd w:val="clear" w:color="auto" w:fill="auto"/>
                  <w:vAlign w:val="center"/>
                </w:tcPr>
                <w:p w14:paraId="792D63E9" w14:textId="3236EA28" w:rsidR="00A13AC6" w:rsidRPr="0028297A" w:rsidRDefault="00194463" w:rsidP="00194463">
                  <w:pPr>
                    <w:jc w:val="center"/>
                    <w:rPr>
                      <w:rFonts w:ascii="Arial" w:hAnsi="Arial" w:cs="Arial"/>
                      <w:sz w:val="18"/>
                      <w:szCs w:val="18"/>
                    </w:rPr>
                  </w:pPr>
                  <w:r>
                    <w:rPr>
                      <w:rFonts w:ascii="Arial" w:hAnsi="Arial" w:cs="Arial"/>
                      <w:sz w:val="18"/>
                      <w:szCs w:val="18"/>
                    </w:rPr>
                    <w:t>Servicios de apoyo gerencial</w:t>
                  </w:r>
                </w:p>
              </w:tc>
            </w:tr>
          </w:tbl>
          <w:p w14:paraId="26A3C31B" w14:textId="77777777" w:rsidR="003A305B" w:rsidRPr="0028297A" w:rsidRDefault="003A305B" w:rsidP="007426AF">
            <w:pPr>
              <w:shd w:val="clear" w:color="auto" w:fill="FFFFFF"/>
              <w:jc w:val="both"/>
              <w:rPr>
                <w:rFonts w:ascii="Arial" w:hAnsi="Arial" w:cs="Arial"/>
                <w:i/>
                <w:color w:val="333333"/>
                <w:sz w:val="22"/>
                <w:szCs w:val="22"/>
              </w:rPr>
            </w:pPr>
          </w:p>
          <w:p w14:paraId="77AF03EC" w14:textId="50E3AB39" w:rsidR="00030BE6" w:rsidRPr="00194463" w:rsidRDefault="00A667DD" w:rsidP="004C0118">
            <w:pPr>
              <w:jc w:val="both"/>
              <w:rPr>
                <w:rFonts w:ascii="Arial" w:hAnsi="Arial" w:cs="Arial"/>
                <w:bCs/>
                <w:sz w:val="22"/>
                <w:szCs w:val="22"/>
              </w:rPr>
            </w:pPr>
            <w:r w:rsidRPr="0028297A">
              <w:rPr>
                <w:rFonts w:ascii="Arial" w:hAnsi="Arial" w:cs="Arial"/>
                <w:bCs/>
                <w:sz w:val="22"/>
                <w:szCs w:val="22"/>
              </w:rPr>
              <w:t xml:space="preserve">El objeto definido para el contrato a celebrarse se puede </w:t>
            </w:r>
            <w:r w:rsidRPr="000571C1">
              <w:rPr>
                <w:rFonts w:ascii="Arial" w:hAnsi="Arial" w:cs="Arial"/>
                <w:bCs/>
                <w:sz w:val="22"/>
                <w:szCs w:val="22"/>
              </w:rPr>
              <w:t>ejecutar por</w:t>
            </w:r>
            <w:r w:rsidR="004C0118" w:rsidRPr="000571C1">
              <w:rPr>
                <w:rFonts w:ascii="Arial" w:hAnsi="Arial" w:cs="Arial"/>
                <w:bCs/>
                <w:sz w:val="22"/>
                <w:szCs w:val="22"/>
              </w:rPr>
              <w:t xml:space="preserve"> </w:t>
            </w:r>
            <w:r w:rsidR="000571C1" w:rsidRPr="000571C1">
              <w:rPr>
                <w:rFonts w:ascii="Arial" w:hAnsi="Arial" w:cs="Arial"/>
                <w:bCs/>
                <w:sz w:val="22"/>
                <w:szCs w:val="22"/>
              </w:rPr>
              <w:t xml:space="preserve">un </w:t>
            </w:r>
            <w:r w:rsidR="00194463">
              <w:rPr>
                <w:rFonts w:ascii="Arial" w:hAnsi="Arial" w:cs="Arial"/>
                <w:bCs/>
                <w:sz w:val="22"/>
                <w:szCs w:val="22"/>
              </w:rPr>
              <w:t xml:space="preserve">técnico y/o tecnólogo en áreas de obras civiles o ambientales o forestales o sanitarias, que cuente con experiencia e idoneidad, condiciones que son tenidas como los factores de selección para la prestación de servicios de apoyo a la gestión. </w:t>
            </w:r>
            <w:proofErr w:type="gramStart"/>
            <w:r w:rsidR="00194463">
              <w:rPr>
                <w:rFonts w:ascii="Arial" w:hAnsi="Arial" w:cs="Arial"/>
                <w:bCs/>
                <w:sz w:val="22"/>
                <w:szCs w:val="22"/>
              </w:rPr>
              <w:t>teniendo</w:t>
            </w:r>
            <w:proofErr w:type="gramEnd"/>
            <w:r w:rsidR="00194463">
              <w:rPr>
                <w:rFonts w:ascii="Arial" w:hAnsi="Arial" w:cs="Arial"/>
                <w:bCs/>
                <w:sz w:val="22"/>
                <w:szCs w:val="22"/>
              </w:rPr>
              <w:t xml:space="preserve"> en cuenta que el servicio requerido se enmarca en los parámetros señalados. Por lo tanto, se justifica la contratación directa.</w:t>
            </w:r>
          </w:p>
        </w:tc>
      </w:tr>
      <w:tr w:rsidR="00CB1457" w:rsidRPr="0028297A" w14:paraId="5BCE1FAC" w14:textId="77777777" w:rsidTr="00563B96">
        <w:tc>
          <w:tcPr>
            <w:tcW w:w="9356" w:type="dxa"/>
            <w:gridSpan w:val="2"/>
            <w:shd w:val="clear" w:color="auto" w:fill="B8CCE4" w:themeFill="accent1" w:themeFillTint="66"/>
          </w:tcPr>
          <w:p w14:paraId="2DA987DE" w14:textId="49C257B0" w:rsidR="00CB1457" w:rsidRPr="0028297A" w:rsidRDefault="00CB1457" w:rsidP="007426AF">
            <w:pPr>
              <w:jc w:val="center"/>
              <w:rPr>
                <w:rFonts w:ascii="Arial" w:hAnsi="Arial" w:cs="Arial"/>
                <w:b/>
                <w:bCs/>
                <w:sz w:val="22"/>
                <w:szCs w:val="22"/>
              </w:rPr>
            </w:pPr>
            <w:r w:rsidRPr="0028297A">
              <w:rPr>
                <w:rFonts w:ascii="Arial" w:hAnsi="Arial" w:cs="Arial"/>
                <w:b/>
                <w:bCs/>
                <w:sz w:val="22"/>
                <w:szCs w:val="22"/>
              </w:rPr>
              <w:lastRenderedPageBreak/>
              <w:t>VALOR ESTIMADO DEL CONTRATO Y SU JUSTIFICACI</w:t>
            </w:r>
            <w:r w:rsidR="00FA438C" w:rsidRPr="0028297A">
              <w:rPr>
                <w:rFonts w:ascii="Arial" w:hAnsi="Arial" w:cs="Arial"/>
                <w:b/>
                <w:bCs/>
                <w:sz w:val="22"/>
                <w:szCs w:val="22"/>
              </w:rPr>
              <w:t>Ó</w:t>
            </w:r>
            <w:r w:rsidRPr="0028297A">
              <w:rPr>
                <w:rFonts w:ascii="Arial" w:hAnsi="Arial" w:cs="Arial"/>
                <w:b/>
                <w:bCs/>
                <w:sz w:val="22"/>
                <w:szCs w:val="22"/>
              </w:rPr>
              <w:t>N</w:t>
            </w:r>
          </w:p>
        </w:tc>
      </w:tr>
      <w:tr w:rsidR="00CB1457" w:rsidRPr="0028297A" w14:paraId="2A6F56A6" w14:textId="77777777" w:rsidTr="00563B96">
        <w:tc>
          <w:tcPr>
            <w:tcW w:w="2978" w:type="dxa"/>
            <w:vAlign w:val="center"/>
          </w:tcPr>
          <w:p w14:paraId="0DA1E307" w14:textId="0BE0B965" w:rsidR="00CB1457" w:rsidRPr="0028297A" w:rsidRDefault="00CB1457" w:rsidP="007426AF">
            <w:pPr>
              <w:jc w:val="both"/>
              <w:rPr>
                <w:rFonts w:ascii="Arial" w:hAnsi="Arial" w:cs="Arial"/>
                <w:b/>
                <w:sz w:val="22"/>
                <w:szCs w:val="22"/>
              </w:rPr>
            </w:pPr>
            <w:r w:rsidRPr="0028297A">
              <w:rPr>
                <w:rFonts w:ascii="Arial" w:hAnsi="Arial" w:cs="Arial"/>
                <w:b/>
                <w:sz w:val="22"/>
                <w:szCs w:val="22"/>
              </w:rPr>
              <w:t>ADECUACI</w:t>
            </w:r>
            <w:r w:rsidR="00FA438C" w:rsidRPr="0028297A">
              <w:rPr>
                <w:rFonts w:ascii="Arial" w:hAnsi="Arial" w:cs="Arial"/>
                <w:b/>
                <w:sz w:val="22"/>
                <w:szCs w:val="22"/>
              </w:rPr>
              <w:t>Ó</w:t>
            </w:r>
            <w:r w:rsidRPr="0028297A">
              <w:rPr>
                <w:rFonts w:ascii="Arial" w:hAnsi="Arial" w:cs="Arial"/>
                <w:b/>
                <w:sz w:val="22"/>
                <w:szCs w:val="22"/>
              </w:rPr>
              <w:t>N AL PRESUPUESTO</w:t>
            </w:r>
          </w:p>
        </w:tc>
        <w:tc>
          <w:tcPr>
            <w:tcW w:w="6378" w:type="dxa"/>
          </w:tcPr>
          <w:tbl>
            <w:tblPr>
              <w:tblW w:w="61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1134"/>
              <w:gridCol w:w="1868"/>
              <w:gridCol w:w="1553"/>
            </w:tblGrid>
            <w:tr w:rsidR="00CB1457" w:rsidRPr="0028297A" w14:paraId="52FD5138" w14:textId="77777777" w:rsidTr="00B34950">
              <w:trPr>
                <w:trHeight w:val="156"/>
              </w:trPr>
              <w:tc>
                <w:tcPr>
                  <w:tcW w:w="1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8F3958" w14:textId="77777777"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CDP</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97A87C" w14:textId="04FC6561"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C</w:t>
                  </w:r>
                  <w:r w:rsidR="00FA438C" w:rsidRPr="0028297A">
                    <w:rPr>
                      <w:rFonts w:ascii="Arial" w:hAnsi="Arial" w:cs="Arial"/>
                      <w:b/>
                      <w:bCs/>
                      <w:sz w:val="14"/>
                      <w:szCs w:val="14"/>
                    </w:rPr>
                    <w:t>Ó</w:t>
                  </w:r>
                  <w:r w:rsidRPr="0028297A">
                    <w:rPr>
                      <w:rFonts w:ascii="Arial" w:hAnsi="Arial" w:cs="Arial"/>
                      <w:b/>
                      <w:bCs/>
                      <w:sz w:val="14"/>
                      <w:szCs w:val="14"/>
                    </w:rPr>
                    <w:t>DIGO</w:t>
                  </w:r>
                </w:p>
              </w:tc>
              <w:tc>
                <w:tcPr>
                  <w:tcW w:w="18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274369" w14:textId="1B77AE3B"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DENOMINACI</w:t>
                  </w:r>
                  <w:r w:rsidR="00FA438C" w:rsidRPr="0028297A">
                    <w:rPr>
                      <w:rFonts w:ascii="Arial" w:hAnsi="Arial" w:cs="Arial"/>
                      <w:b/>
                      <w:bCs/>
                      <w:sz w:val="14"/>
                      <w:szCs w:val="14"/>
                    </w:rPr>
                    <w:t>Ó</w:t>
                  </w:r>
                  <w:r w:rsidRPr="0028297A">
                    <w:rPr>
                      <w:rFonts w:ascii="Arial" w:hAnsi="Arial" w:cs="Arial"/>
                      <w:b/>
                      <w:bCs/>
                      <w:sz w:val="14"/>
                      <w:szCs w:val="14"/>
                    </w:rPr>
                    <w:t>N</w:t>
                  </w:r>
                </w:p>
              </w:tc>
              <w:tc>
                <w:tcPr>
                  <w:tcW w:w="15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51ECFC" w14:textId="77777777" w:rsidR="00CB1457" w:rsidRPr="0028297A" w:rsidRDefault="00CB1457" w:rsidP="007426AF">
                  <w:pPr>
                    <w:jc w:val="center"/>
                    <w:rPr>
                      <w:rFonts w:ascii="Arial" w:hAnsi="Arial" w:cs="Arial"/>
                      <w:b/>
                      <w:bCs/>
                      <w:sz w:val="14"/>
                      <w:szCs w:val="14"/>
                    </w:rPr>
                  </w:pPr>
                  <w:r w:rsidRPr="0028297A">
                    <w:rPr>
                      <w:rFonts w:ascii="Arial" w:hAnsi="Arial" w:cs="Arial"/>
                      <w:b/>
                      <w:bCs/>
                      <w:sz w:val="14"/>
                      <w:szCs w:val="14"/>
                    </w:rPr>
                    <w:t>VALOR</w:t>
                  </w:r>
                </w:p>
              </w:tc>
            </w:tr>
            <w:tr w:rsidR="00CB1457" w:rsidRPr="0028297A" w14:paraId="504BECDB" w14:textId="77777777" w:rsidTr="00B34950">
              <w:trPr>
                <w:trHeight w:val="427"/>
              </w:trPr>
              <w:tc>
                <w:tcPr>
                  <w:tcW w:w="1608" w:type="dxa"/>
                  <w:tcBorders>
                    <w:top w:val="single" w:sz="4" w:space="0" w:color="auto"/>
                    <w:left w:val="single" w:sz="4" w:space="0" w:color="auto"/>
                    <w:bottom w:val="single" w:sz="4" w:space="0" w:color="auto"/>
                    <w:right w:val="single" w:sz="4" w:space="0" w:color="auto"/>
                  </w:tcBorders>
                  <w:vAlign w:val="center"/>
                </w:tcPr>
                <w:p w14:paraId="5B21AABB" w14:textId="087E0890" w:rsidR="00CB1457" w:rsidRPr="00194463" w:rsidRDefault="00CB1457" w:rsidP="007426AF">
                  <w:pPr>
                    <w:jc w:val="center"/>
                    <w:rPr>
                      <w:rFonts w:ascii="Arial" w:hAnsi="Arial" w:cs="Arial"/>
                      <w:sz w:val="14"/>
                      <w:szCs w:val="1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79146B67" w14:textId="0D478314" w:rsidR="00DC4CBC" w:rsidRPr="00194463" w:rsidRDefault="00DC4CBC" w:rsidP="007426AF">
                  <w:pPr>
                    <w:jc w:val="center"/>
                    <w:rPr>
                      <w:rFonts w:ascii="Arial" w:hAnsi="Arial" w:cs="Arial"/>
                      <w:sz w:val="14"/>
                      <w:szCs w:val="14"/>
                      <w:highlight w:val="yellow"/>
                    </w:rPr>
                  </w:pPr>
                </w:p>
                <w:p w14:paraId="359FBC86" w14:textId="661B399A" w:rsidR="00CB1457" w:rsidRPr="00194463" w:rsidRDefault="00CB1457" w:rsidP="007426AF">
                  <w:pPr>
                    <w:jc w:val="center"/>
                    <w:rPr>
                      <w:rFonts w:ascii="Arial" w:hAnsi="Arial" w:cs="Arial"/>
                      <w:color w:val="C0504D" w:themeColor="accent2"/>
                      <w:sz w:val="14"/>
                      <w:szCs w:val="14"/>
                      <w:highlight w:val="yellow"/>
                    </w:rPr>
                  </w:pPr>
                </w:p>
              </w:tc>
              <w:tc>
                <w:tcPr>
                  <w:tcW w:w="1868" w:type="dxa"/>
                  <w:tcBorders>
                    <w:top w:val="single" w:sz="4" w:space="0" w:color="auto"/>
                    <w:left w:val="single" w:sz="4" w:space="0" w:color="auto"/>
                    <w:bottom w:val="single" w:sz="4" w:space="0" w:color="auto"/>
                    <w:right w:val="single" w:sz="4" w:space="0" w:color="auto"/>
                  </w:tcBorders>
                  <w:vAlign w:val="center"/>
                </w:tcPr>
                <w:p w14:paraId="4C102C6F" w14:textId="4C58AF63" w:rsidR="00CB1457" w:rsidRPr="00B01042" w:rsidRDefault="00B01042" w:rsidP="00B01042">
                  <w:pPr>
                    <w:jc w:val="center"/>
                    <w:rPr>
                      <w:rFonts w:ascii="Arial" w:hAnsi="Arial" w:cs="Arial"/>
                      <w:color w:val="auto"/>
                      <w:sz w:val="14"/>
                      <w:szCs w:val="14"/>
                    </w:rPr>
                  </w:pPr>
                  <w:r>
                    <w:rPr>
                      <w:rFonts w:ascii="Arial" w:hAnsi="Arial" w:cs="Arial"/>
                      <w:color w:val="auto"/>
                      <w:sz w:val="14"/>
                      <w:szCs w:val="14"/>
                    </w:rPr>
                    <w:t>REMUNERACIÓN SERVICIOS TÉCNICOS</w:t>
                  </w:r>
                </w:p>
              </w:tc>
              <w:tc>
                <w:tcPr>
                  <w:tcW w:w="1553" w:type="dxa"/>
                  <w:tcBorders>
                    <w:top w:val="single" w:sz="4" w:space="0" w:color="auto"/>
                    <w:left w:val="single" w:sz="4" w:space="0" w:color="auto"/>
                    <w:bottom w:val="single" w:sz="4" w:space="0" w:color="auto"/>
                    <w:right w:val="single" w:sz="4" w:space="0" w:color="auto"/>
                  </w:tcBorders>
                  <w:vAlign w:val="center"/>
                </w:tcPr>
                <w:p w14:paraId="23856A4E" w14:textId="3D7DB91D" w:rsidR="00A667DD" w:rsidRPr="0028297A" w:rsidRDefault="00CB1457" w:rsidP="007D3EE4">
                  <w:pPr>
                    <w:shd w:val="clear" w:color="auto" w:fill="FFFFFF"/>
                    <w:jc w:val="center"/>
                    <w:rPr>
                      <w:rFonts w:ascii="Arial" w:hAnsi="Arial" w:cs="Arial"/>
                      <w:sz w:val="14"/>
                      <w:szCs w:val="14"/>
                    </w:rPr>
                  </w:pPr>
                  <w:r w:rsidRPr="0028297A">
                    <w:rPr>
                      <w:rFonts w:ascii="Arial" w:hAnsi="Arial" w:cs="Arial"/>
                      <w:sz w:val="14"/>
                      <w:szCs w:val="14"/>
                    </w:rPr>
                    <w:t>$</w:t>
                  </w:r>
                </w:p>
              </w:tc>
            </w:tr>
            <w:tr w:rsidR="00CB1457" w:rsidRPr="0028297A" w14:paraId="0956C784" w14:textId="77777777" w:rsidTr="00B34950">
              <w:trPr>
                <w:trHeight w:val="156"/>
              </w:trPr>
              <w:tc>
                <w:tcPr>
                  <w:tcW w:w="1608" w:type="dxa"/>
                  <w:tcBorders>
                    <w:top w:val="single" w:sz="4" w:space="0" w:color="auto"/>
                    <w:left w:val="nil"/>
                    <w:bottom w:val="nil"/>
                    <w:right w:val="nil"/>
                  </w:tcBorders>
                </w:tcPr>
                <w:p w14:paraId="0BCA6215" w14:textId="77777777" w:rsidR="00CB1457" w:rsidRPr="0028297A" w:rsidRDefault="00CB1457" w:rsidP="007426AF">
                  <w:pPr>
                    <w:jc w:val="center"/>
                    <w:rPr>
                      <w:rFonts w:ascii="Arial" w:hAnsi="Arial" w:cs="Arial"/>
                      <w:b/>
                      <w:bCs/>
                      <w:sz w:val="14"/>
                      <w:szCs w:val="14"/>
                    </w:rPr>
                  </w:pPr>
                </w:p>
              </w:tc>
              <w:tc>
                <w:tcPr>
                  <w:tcW w:w="1134" w:type="dxa"/>
                  <w:tcBorders>
                    <w:top w:val="single" w:sz="4" w:space="0" w:color="auto"/>
                    <w:left w:val="nil"/>
                    <w:bottom w:val="nil"/>
                    <w:right w:val="single" w:sz="4" w:space="0" w:color="auto"/>
                  </w:tcBorders>
                </w:tcPr>
                <w:p w14:paraId="6E216EE8" w14:textId="3369B6FC" w:rsidR="00CB1457" w:rsidRPr="0028297A" w:rsidRDefault="00CB1457" w:rsidP="007426AF">
                  <w:pPr>
                    <w:jc w:val="center"/>
                    <w:rPr>
                      <w:rFonts w:ascii="Arial" w:hAnsi="Arial" w:cs="Arial"/>
                      <w:b/>
                      <w:bCs/>
                      <w:sz w:val="14"/>
                      <w:szCs w:val="14"/>
                    </w:rPr>
                  </w:pPr>
                </w:p>
              </w:tc>
              <w:tc>
                <w:tcPr>
                  <w:tcW w:w="1868" w:type="dxa"/>
                  <w:tcBorders>
                    <w:top w:val="single" w:sz="4" w:space="0" w:color="auto"/>
                    <w:left w:val="single" w:sz="4" w:space="0" w:color="auto"/>
                    <w:bottom w:val="single" w:sz="4" w:space="0" w:color="auto"/>
                    <w:right w:val="single" w:sz="4" w:space="0" w:color="auto"/>
                  </w:tcBorders>
                </w:tcPr>
                <w:p w14:paraId="13A8ABBA" w14:textId="799DB5FD" w:rsidR="00CB1457" w:rsidRPr="0028297A" w:rsidRDefault="001D68B3" w:rsidP="007426AF">
                  <w:pPr>
                    <w:jc w:val="center"/>
                    <w:rPr>
                      <w:rFonts w:ascii="Arial" w:hAnsi="Arial" w:cs="Arial"/>
                      <w:sz w:val="14"/>
                      <w:szCs w:val="14"/>
                    </w:rPr>
                  </w:pPr>
                  <w:r w:rsidRPr="0028297A">
                    <w:rPr>
                      <w:rFonts w:ascii="Arial" w:hAnsi="Arial" w:cs="Arial"/>
                      <w:b/>
                      <w:bCs/>
                      <w:sz w:val="14"/>
                      <w:szCs w:val="14"/>
                    </w:rPr>
                    <w:t>Total</w:t>
                  </w:r>
                </w:p>
              </w:tc>
              <w:tc>
                <w:tcPr>
                  <w:tcW w:w="1553" w:type="dxa"/>
                  <w:tcBorders>
                    <w:top w:val="single" w:sz="4" w:space="0" w:color="auto"/>
                    <w:left w:val="single" w:sz="4" w:space="0" w:color="auto"/>
                    <w:bottom w:val="single" w:sz="4" w:space="0" w:color="auto"/>
                    <w:right w:val="single" w:sz="4" w:space="0" w:color="auto"/>
                  </w:tcBorders>
                </w:tcPr>
                <w:p w14:paraId="48D0B258" w14:textId="1B336428" w:rsidR="00CB1457" w:rsidRPr="0028297A" w:rsidRDefault="00CB1457" w:rsidP="007426AF">
                  <w:pPr>
                    <w:jc w:val="center"/>
                    <w:rPr>
                      <w:rFonts w:ascii="Arial" w:hAnsi="Arial" w:cs="Arial"/>
                      <w:sz w:val="14"/>
                      <w:szCs w:val="14"/>
                    </w:rPr>
                  </w:pPr>
                </w:p>
              </w:tc>
            </w:tr>
          </w:tbl>
          <w:p w14:paraId="6130DBDB" w14:textId="77777777" w:rsidR="00CB1457" w:rsidRPr="0028297A" w:rsidRDefault="00CB1457" w:rsidP="007426AF">
            <w:pPr>
              <w:rPr>
                <w:rFonts w:ascii="Arial" w:hAnsi="Arial" w:cs="Arial"/>
                <w:b/>
                <w:sz w:val="22"/>
                <w:szCs w:val="22"/>
              </w:rPr>
            </w:pPr>
          </w:p>
        </w:tc>
      </w:tr>
      <w:tr w:rsidR="00CB1457" w:rsidRPr="0028297A" w14:paraId="556D2C09" w14:textId="77777777" w:rsidTr="00563B96">
        <w:tc>
          <w:tcPr>
            <w:tcW w:w="2978" w:type="dxa"/>
            <w:vAlign w:val="center"/>
          </w:tcPr>
          <w:p w14:paraId="0C5BDBF9" w14:textId="60F4E03E" w:rsidR="00CB1457" w:rsidRPr="000571C1" w:rsidRDefault="00E01578" w:rsidP="007426AF">
            <w:pPr>
              <w:jc w:val="both"/>
              <w:rPr>
                <w:rFonts w:ascii="Arial" w:hAnsi="Arial" w:cs="Arial"/>
                <w:b/>
                <w:sz w:val="22"/>
                <w:szCs w:val="22"/>
              </w:rPr>
            </w:pPr>
            <w:r w:rsidRPr="000571C1">
              <w:rPr>
                <w:rFonts w:ascii="Arial" w:hAnsi="Arial" w:cs="Arial"/>
                <w:b/>
                <w:sz w:val="22"/>
                <w:szCs w:val="22"/>
              </w:rPr>
              <w:t>PRESUPUESTO ESTIMADO</w:t>
            </w:r>
          </w:p>
        </w:tc>
        <w:tc>
          <w:tcPr>
            <w:tcW w:w="6378" w:type="dxa"/>
          </w:tcPr>
          <w:p w14:paraId="35A90917" w14:textId="02DF2736" w:rsidR="00167C21" w:rsidRPr="000571C1" w:rsidRDefault="007D3EE4" w:rsidP="007426AF">
            <w:pPr>
              <w:pStyle w:val="Default"/>
              <w:jc w:val="both"/>
              <w:rPr>
                <w:sz w:val="22"/>
                <w:szCs w:val="22"/>
              </w:rPr>
            </w:pPr>
            <w:r>
              <w:rPr>
                <w:sz w:val="22"/>
                <w:szCs w:val="22"/>
              </w:rPr>
              <w:t>XXXXXXXXXXXXXXXXXPESOS ($XXXXXXXXXXXXXX</w:t>
            </w:r>
            <w:r w:rsidR="000571C1" w:rsidRPr="000571C1">
              <w:rPr>
                <w:sz w:val="22"/>
                <w:szCs w:val="22"/>
              </w:rPr>
              <w:t>) M/CTE.</w:t>
            </w:r>
          </w:p>
          <w:p w14:paraId="49F51BAF" w14:textId="77777777" w:rsidR="000571C1" w:rsidRPr="000571C1" w:rsidRDefault="000571C1" w:rsidP="007426AF">
            <w:pPr>
              <w:pStyle w:val="Default"/>
              <w:jc w:val="both"/>
              <w:rPr>
                <w:sz w:val="22"/>
                <w:szCs w:val="22"/>
              </w:rPr>
            </w:pPr>
          </w:p>
          <w:p w14:paraId="3B12A5BE" w14:textId="0B41AE28" w:rsidR="00663004" w:rsidRPr="000571C1" w:rsidRDefault="00663004" w:rsidP="007426AF">
            <w:pPr>
              <w:pStyle w:val="Default"/>
              <w:jc w:val="both"/>
              <w:rPr>
                <w:sz w:val="22"/>
                <w:szCs w:val="22"/>
              </w:rPr>
            </w:pPr>
            <w:r w:rsidRPr="000571C1">
              <w:rPr>
                <w:sz w:val="22"/>
                <w:szCs w:val="22"/>
              </w:rPr>
              <w:t xml:space="preserve">Para definir el monto a contratar se tomó como referencia el histórico de contratación de la Empresa, para el perfil requerido. </w:t>
            </w:r>
          </w:p>
        </w:tc>
      </w:tr>
      <w:tr w:rsidR="00CB1457" w:rsidRPr="0028297A" w14:paraId="10AF9671" w14:textId="77777777" w:rsidTr="00563B96">
        <w:tc>
          <w:tcPr>
            <w:tcW w:w="9356" w:type="dxa"/>
            <w:gridSpan w:val="2"/>
            <w:shd w:val="clear" w:color="auto" w:fill="B8CCE4" w:themeFill="accent1" w:themeFillTint="66"/>
          </w:tcPr>
          <w:p w14:paraId="0B24752B" w14:textId="77777777" w:rsidR="00CB1457" w:rsidRPr="0028297A" w:rsidRDefault="00CB1457" w:rsidP="007426AF">
            <w:pPr>
              <w:jc w:val="center"/>
              <w:rPr>
                <w:rFonts w:ascii="Arial" w:hAnsi="Arial" w:cs="Arial"/>
                <w:b/>
                <w:sz w:val="22"/>
                <w:szCs w:val="22"/>
              </w:rPr>
            </w:pPr>
            <w:r w:rsidRPr="0028297A">
              <w:rPr>
                <w:rFonts w:ascii="Arial" w:hAnsi="Arial" w:cs="Arial"/>
                <w:b/>
                <w:sz w:val="22"/>
                <w:szCs w:val="22"/>
              </w:rPr>
              <w:t>CRITERIOS DE SELECCIÓN</w:t>
            </w:r>
          </w:p>
        </w:tc>
      </w:tr>
      <w:tr w:rsidR="00CB1457" w:rsidRPr="0028297A" w14:paraId="2D411A4C" w14:textId="77777777" w:rsidTr="00563B96">
        <w:tc>
          <w:tcPr>
            <w:tcW w:w="9356" w:type="dxa"/>
            <w:gridSpan w:val="2"/>
          </w:tcPr>
          <w:p w14:paraId="14AC472B" w14:textId="4868FD11" w:rsidR="00CA7622" w:rsidRPr="0028297A" w:rsidRDefault="00CB1457" w:rsidP="007426AF">
            <w:pPr>
              <w:jc w:val="both"/>
              <w:rPr>
                <w:rFonts w:ascii="Arial" w:hAnsi="Arial" w:cs="Arial"/>
                <w:bCs/>
                <w:sz w:val="22"/>
                <w:szCs w:val="22"/>
              </w:rPr>
            </w:pPr>
            <w:r w:rsidRPr="0028297A">
              <w:rPr>
                <w:rFonts w:ascii="Arial" w:hAnsi="Arial" w:cs="Arial"/>
                <w:bCs/>
                <w:sz w:val="22"/>
                <w:szCs w:val="22"/>
              </w:rPr>
              <w:t>Para la contratación de Prestación de Servicios</w:t>
            </w:r>
            <w:r w:rsidR="006C0E0D">
              <w:rPr>
                <w:rFonts w:ascii="Arial" w:hAnsi="Arial" w:cs="Arial"/>
                <w:bCs/>
                <w:sz w:val="22"/>
                <w:szCs w:val="22"/>
              </w:rPr>
              <w:t xml:space="preserve"> de Apoyo a la Gestión</w:t>
            </w:r>
            <w:r w:rsidRPr="0028297A">
              <w:rPr>
                <w:rFonts w:ascii="Arial" w:hAnsi="Arial" w:cs="Arial"/>
                <w:bCs/>
                <w:sz w:val="22"/>
                <w:szCs w:val="22"/>
              </w:rPr>
              <w:t>, la Entidad contratará con la persona que esté en capacidad de ejecutar el objeto</w:t>
            </w:r>
            <w:r w:rsidR="00663004" w:rsidRPr="0028297A">
              <w:rPr>
                <w:rFonts w:ascii="Arial" w:hAnsi="Arial" w:cs="Arial"/>
                <w:bCs/>
                <w:sz w:val="22"/>
                <w:szCs w:val="22"/>
              </w:rPr>
              <w:t xml:space="preserve"> </w:t>
            </w:r>
            <w:r w:rsidR="00663004" w:rsidRPr="0028297A">
              <w:rPr>
                <w:rFonts w:ascii="Arial" w:hAnsi="Arial" w:cs="Arial"/>
                <w:color w:val="auto"/>
                <w:sz w:val="22"/>
                <w:szCs w:val="22"/>
              </w:rPr>
              <w:t>según lo establecido por el artículo 2.2.1.2.1.4.9., del Decreto 1082 de 2015</w:t>
            </w:r>
            <w:r w:rsidRPr="0028297A">
              <w:rPr>
                <w:rFonts w:ascii="Arial" w:hAnsi="Arial" w:cs="Arial"/>
                <w:bCs/>
                <w:sz w:val="22"/>
                <w:szCs w:val="22"/>
              </w:rPr>
              <w:t xml:space="preserve">, condiciones que para la presente contratación ya han sido verificadas </w:t>
            </w:r>
            <w:r w:rsidR="00CA7622" w:rsidRPr="0028297A">
              <w:rPr>
                <w:rFonts w:ascii="Arial" w:hAnsi="Arial" w:cs="Arial"/>
                <w:bCs/>
                <w:sz w:val="22"/>
                <w:szCs w:val="22"/>
              </w:rPr>
              <w:t>con la documentación presentada en propuesta técnica y económica a</w:t>
            </w:r>
            <w:r w:rsidRPr="0028297A">
              <w:rPr>
                <w:rFonts w:ascii="Arial" w:hAnsi="Arial" w:cs="Arial"/>
                <w:bCs/>
                <w:sz w:val="22"/>
                <w:szCs w:val="22"/>
              </w:rPr>
              <w:t xml:space="preserve"> la EMPRESA </w:t>
            </w:r>
            <w:r w:rsidR="00A667DD" w:rsidRPr="0028297A">
              <w:rPr>
                <w:rFonts w:ascii="Arial" w:hAnsi="Arial" w:cs="Arial"/>
                <w:bCs/>
                <w:sz w:val="22"/>
                <w:szCs w:val="22"/>
              </w:rPr>
              <w:t xml:space="preserve">DEPARTAMENTAL </w:t>
            </w:r>
            <w:r w:rsidRPr="0028297A">
              <w:rPr>
                <w:rFonts w:ascii="Arial" w:hAnsi="Arial" w:cs="Arial"/>
                <w:bCs/>
                <w:sz w:val="22"/>
                <w:szCs w:val="22"/>
              </w:rPr>
              <w:t>DE ACUEDUCTO ALCANTARILLADO Y ASEO DEL TOLIMA EDAT S.A E.S.P. O</w:t>
            </w:r>
            <w:r w:rsidR="007426AF" w:rsidRPr="0028297A">
              <w:rPr>
                <w:rFonts w:ascii="Arial" w:hAnsi="Arial" w:cs="Arial"/>
                <w:bCs/>
                <w:sz w:val="22"/>
                <w:szCs w:val="22"/>
              </w:rPr>
              <w:t>ficial</w:t>
            </w:r>
            <w:r w:rsidR="00CA7622" w:rsidRPr="0028297A">
              <w:rPr>
                <w:rFonts w:ascii="Arial" w:hAnsi="Arial" w:cs="Arial"/>
                <w:bCs/>
                <w:sz w:val="22"/>
                <w:szCs w:val="22"/>
              </w:rPr>
              <w:t xml:space="preserve">, la cual hace parte integral de este estudio previo.  </w:t>
            </w:r>
          </w:p>
          <w:p w14:paraId="2FBB6387" w14:textId="77777777" w:rsidR="00CA7622" w:rsidRPr="0028297A" w:rsidRDefault="00CA7622" w:rsidP="007426AF">
            <w:pPr>
              <w:jc w:val="both"/>
              <w:rPr>
                <w:rFonts w:ascii="Arial" w:hAnsi="Arial" w:cs="Arial"/>
                <w:bCs/>
                <w:sz w:val="22"/>
                <w:szCs w:val="22"/>
              </w:rPr>
            </w:pPr>
          </w:p>
          <w:p w14:paraId="7F88F85A" w14:textId="2EF2B960" w:rsidR="00CB1457" w:rsidRPr="0028297A" w:rsidRDefault="00CB1457" w:rsidP="007426AF">
            <w:pPr>
              <w:jc w:val="both"/>
              <w:rPr>
                <w:rFonts w:ascii="Arial" w:hAnsi="Arial" w:cs="Arial"/>
                <w:bCs/>
                <w:sz w:val="22"/>
                <w:szCs w:val="22"/>
              </w:rPr>
            </w:pPr>
            <w:r w:rsidRPr="0028297A">
              <w:rPr>
                <w:rFonts w:ascii="Arial" w:hAnsi="Arial" w:cs="Arial"/>
                <w:bCs/>
                <w:sz w:val="22"/>
                <w:szCs w:val="22"/>
              </w:rPr>
              <w:t xml:space="preserve">De otra </w:t>
            </w:r>
            <w:r w:rsidR="00B563DA" w:rsidRPr="0028297A">
              <w:rPr>
                <w:rFonts w:ascii="Arial" w:hAnsi="Arial" w:cs="Arial"/>
                <w:bCs/>
                <w:sz w:val="22"/>
                <w:szCs w:val="22"/>
              </w:rPr>
              <w:t>parte,</w:t>
            </w:r>
            <w:r w:rsidRPr="0028297A">
              <w:rPr>
                <w:rFonts w:ascii="Arial" w:hAnsi="Arial" w:cs="Arial"/>
                <w:bCs/>
                <w:sz w:val="22"/>
                <w:szCs w:val="22"/>
              </w:rPr>
              <w:t xml:space="preserve"> en la planta de personal de la EMPRESA DE</w:t>
            </w:r>
            <w:r w:rsidR="00A667DD" w:rsidRPr="0028297A">
              <w:rPr>
                <w:rFonts w:ascii="Arial" w:hAnsi="Arial" w:cs="Arial"/>
                <w:bCs/>
                <w:sz w:val="22"/>
                <w:szCs w:val="22"/>
              </w:rPr>
              <w:t>PARTAMENTAL DE</w:t>
            </w:r>
            <w:r w:rsidRPr="0028297A">
              <w:rPr>
                <w:rFonts w:ascii="Arial" w:hAnsi="Arial" w:cs="Arial"/>
                <w:bCs/>
                <w:sz w:val="22"/>
                <w:szCs w:val="22"/>
              </w:rPr>
              <w:t xml:space="preserve"> ACUEDUCTO ALCANTARILLADO Y ASEO DEL TOLIMA EDAT S.A E.S.P. O</w:t>
            </w:r>
            <w:r w:rsidR="007426AF" w:rsidRPr="0028297A">
              <w:rPr>
                <w:rFonts w:ascii="Arial" w:hAnsi="Arial" w:cs="Arial"/>
                <w:bCs/>
                <w:sz w:val="22"/>
                <w:szCs w:val="22"/>
              </w:rPr>
              <w:t>ficial</w:t>
            </w:r>
            <w:r w:rsidRPr="0028297A">
              <w:rPr>
                <w:rFonts w:ascii="Arial" w:hAnsi="Arial" w:cs="Arial"/>
                <w:bCs/>
                <w:sz w:val="22"/>
                <w:szCs w:val="22"/>
              </w:rPr>
              <w:t>, no se cuenta con personal suficiente que asuma la ejecución de las actividades propuestas en el objeto de la presente contratación</w:t>
            </w:r>
            <w:r w:rsidR="007426AF" w:rsidRPr="0028297A">
              <w:rPr>
                <w:rFonts w:ascii="Arial" w:hAnsi="Arial" w:cs="Arial"/>
                <w:bCs/>
                <w:sz w:val="22"/>
                <w:szCs w:val="22"/>
              </w:rPr>
              <w:t xml:space="preserve">; </w:t>
            </w:r>
            <w:r w:rsidRPr="0028297A">
              <w:rPr>
                <w:rFonts w:ascii="Arial" w:hAnsi="Arial" w:cs="Arial"/>
                <w:bCs/>
                <w:sz w:val="22"/>
                <w:szCs w:val="22"/>
              </w:rPr>
              <w:t>por lo que se procede a la misma.</w:t>
            </w:r>
          </w:p>
          <w:p w14:paraId="3FB860FF" w14:textId="77777777" w:rsidR="0090772F" w:rsidRPr="0028297A" w:rsidRDefault="0090772F" w:rsidP="007426AF">
            <w:pPr>
              <w:jc w:val="both"/>
              <w:rPr>
                <w:rFonts w:ascii="Arial" w:hAnsi="Arial" w:cs="Arial"/>
                <w:bCs/>
                <w:sz w:val="22"/>
                <w:szCs w:val="22"/>
              </w:rPr>
            </w:pPr>
          </w:p>
          <w:p w14:paraId="1F6DF7D2" w14:textId="650DAFBD" w:rsidR="0090772F" w:rsidRPr="000571C1" w:rsidRDefault="0090772F" w:rsidP="0090772F">
            <w:pPr>
              <w:pStyle w:val="Prrafodelista"/>
              <w:numPr>
                <w:ilvl w:val="0"/>
                <w:numId w:val="9"/>
              </w:numPr>
              <w:jc w:val="both"/>
              <w:rPr>
                <w:rFonts w:ascii="Arial" w:hAnsi="Arial" w:cs="Arial"/>
                <w:bCs/>
                <w:sz w:val="22"/>
                <w:szCs w:val="22"/>
              </w:rPr>
            </w:pPr>
            <w:r w:rsidRPr="000571C1">
              <w:rPr>
                <w:rFonts w:ascii="Arial" w:hAnsi="Arial" w:cs="Arial"/>
                <w:bCs/>
                <w:sz w:val="22"/>
                <w:szCs w:val="22"/>
              </w:rPr>
              <w:t xml:space="preserve">Titulo </w:t>
            </w:r>
            <w:r w:rsidR="009276DF">
              <w:rPr>
                <w:rFonts w:ascii="Arial" w:hAnsi="Arial" w:cs="Arial"/>
                <w:bCs/>
                <w:sz w:val="22"/>
                <w:szCs w:val="22"/>
              </w:rPr>
              <w:t>Tecnólogo</w:t>
            </w:r>
          </w:p>
          <w:p w14:paraId="6FC1A447" w14:textId="6A792AF0" w:rsidR="00030BE6" w:rsidRDefault="006C2DBF" w:rsidP="00686ED0">
            <w:pPr>
              <w:pStyle w:val="Prrafodelista"/>
              <w:numPr>
                <w:ilvl w:val="0"/>
                <w:numId w:val="9"/>
              </w:numPr>
              <w:jc w:val="both"/>
              <w:rPr>
                <w:rFonts w:ascii="Arial" w:hAnsi="Arial" w:cs="Arial"/>
                <w:bCs/>
                <w:sz w:val="22"/>
                <w:szCs w:val="22"/>
              </w:rPr>
            </w:pPr>
            <w:r w:rsidRPr="009276DF">
              <w:rPr>
                <w:rFonts w:ascii="Arial" w:hAnsi="Arial" w:cs="Arial"/>
                <w:bCs/>
                <w:sz w:val="22"/>
                <w:szCs w:val="22"/>
              </w:rPr>
              <w:t xml:space="preserve">Experiencia relacionada </w:t>
            </w:r>
          </w:p>
          <w:p w14:paraId="45711666" w14:textId="77777777" w:rsidR="009276DF" w:rsidRPr="009276DF" w:rsidRDefault="009276DF" w:rsidP="009276DF">
            <w:pPr>
              <w:pStyle w:val="Prrafodelista"/>
              <w:jc w:val="both"/>
              <w:rPr>
                <w:rFonts w:ascii="Arial" w:hAnsi="Arial" w:cs="Arial"/>
                <w:bCs/>
                <w:sz w:val="22"/>
                <w:szCs w:val="22"/>
              </w:rPr>
            </w:pPr>
          </w:p>
          <w:p w14:paraId="103B4DC0" w14:textId="338C8AD0" w:rsidR="004C285D" w:rsidRPr="0028297A" w:rsidRDefault="004C285D" w:rsidP="004C285D">
            <w:pPr>
              <w:jc w:val="both"/>
              <w:rPr>
                <w:rFonts w:ascii="Arial" w:hAnsi="Arial" w:cs="Arial"/>
                <w:bCs/>
                <w:sz w:val="22"/>
                <w:szCs w:val="22"/>
              </w:rPr>
            </w:pPr>
            <w:r w:rsidRPr="0028297A">
              <w:rPr>
                <w:rFonts w:ascii="Arial" w:hAnsi="Arial" w:cs="Arial"/>
                <w:bCs/>
                <w:sz w:val="22"/>
                <w:szCs w:val="22"/>
              </w:rPr>
              <w:t xml:space="preserve">Es así como, la Entidad considera que </w:t>
            </w:r>
            <w:bookmarkStart w:id="6" w:name="_Hlk64712875"/>
            <w:r w:rsidR="009276DF">
              <w:rPr>
                <w:rFonts w:ascii="Arial" w:hAnsi="Arial" w:cs="Arial"/>
                <w:b/>
                <w:sz w:val="22"/>
                <w:szCs w:val="22"/>
              </w:rPr>
              <w:t>FABIAN DANILO DURAN</w:t>
            </w:r>
            <w:r w:rsidR="004B5F89">
              <w:rPr>
                <w:rFonts w:ascii="Arial" w:hAnsi="Arial" w:cs="Arial"/>
                <w:b/>
                <w:sz w:val="22"/>
                <w:szCs w:val="22"/>
              </w:rPr>
              <w:t xml:space="preserve"> </w:t>
            </w:r>
            <w:bookmarkEnd w:id="6"/>
            <w:r w:rsidR="009276DF">
              <w:rPr>
                <w:rFonts w:ascii="Arial" w:hAnsi="Arial" w:cs="Arial"/>
                <w:b/>
                <w:sz w:val="22"/>
                <w:szCs w:val="22"/>
              </w:rPr>
              <w:t xml:space="preserve">BRIÑEZ </w:t>
            </w:r>
            <w:r w:rsidRPr="0028297A">
              <w:rPr>
                <w:rFonts w:ascii="Arial" w:hAnsi="Arial" w:cs="Arial"/>
                <w:bCs/>
                <w:sz w:val="22"/>
                <w:szCs w:val="22"/>
              </w:rPr>
              <w:t xml:space="preserve">cuenta con la idoneidad en razón a que acredita su </w:t>
            </w:r>
            <w:r w:rsidR="009276DF">
              <w:rPr>
                <w:rFonts w:ascii="Arial" w:hAnsi="Arial" w:cs="Arial"/>
                <w:bCs/>
                <w:sz w:val="22"/>
                <w:szCs w:val="22"/>
              </w:rPr>
              <w:t>título</w:t>
            </w:r>
            <w:r w:rsidR="00913219">
              <w:rPr>
                <w:rFonts w:ascii="Arial" w:hAnsi="Arial" w:cs="Arial"/>
                <w:bCs/>
                <w:sz w:val="22"/>
                <w:szCs w:val="22"/>
              </w:rPr>
              <w:t xml:space="preserve"> de </w:t>
            </w:r>
            <w:r w:rsidR="00913219" w:rsidRPr="000571C1">
              <w:rPr>
                <w:rFonts w:ascii="Arial" w:hAnsi="Arial" w:cs="Arial"/>
                <w:bCs/>
                <w:sz w:val="22"/>
                <w:szCs w:val="22"/>
              </w:rPr>
              <w:t xml:space="preserve">Tecnólogo </w:t>
            </w:r>
            <w:r w:rsidR="00913219">
              <w:rPr>
                <w:rFonts w:ascii="Arial" w:hAnsi="Arial" w:cs="Arial"/>
                <w:bCs/>
                <w:sz w:val="22"/>
                <w:szCs w:val="22"/>
              </w:rPr>
              <w:t>y experiencia relacionada</w:t>
            </w:r>
            <w:r w:rsidRPr="0028297A">
              <w:rPr>
                <w:rFonts w:ascii="Arial" w:hAnsi="Arial" w:cs="Arial"/>
                <w:bCs/>
                <w:sz w:val="22"/>
                <w:szCs w:val="22"/>
              </w:rPr>
              <w:t>, que le permiten la prestación de los servicios requeridos, documentos que se aportan al expediente contractual, entre otros asuntos relacionados con el objeto y obligaciones del presente estudio previo.</w:t>
            </w:r>
          </w:p>
          <w:p w14:paraId="1C033B8B" w14:textId="77777777" w:rsidR="004C285D" w:rsidRPr="0028297A" w:rsidRDefault="004C285D" w:rsidP="004C285D">
            <w:pPr>
              <w:pStyle w:val="Prrafodelista"/>
              <w:jc w:val="both"/>
              <w:rPr>
                <w:rFonts w:ascii="Arial" w:hAnsi="Arial" w:cs="Arial"/>
                <w:bCs/>
                <w:sz w:val="22"/>
                <w:szCs w:val="22"/>
              </w:rPr>
            </w:pPr>
          </w:p>
          <w:p w14:paraId="70775692" w14:textId="7E37D650" w:rsidR="00A95149" w:rsidRPr="00B563DA" w:rsidRDefault="00663004" w:rsidP="001C3D9F">
            <w:pPr>
              <w:jc w:val="both"/>
              <w:rPr>
                <w:rFonts w:ascii="Arial" w:hAnsi="Arial" w:cs="Arial"/>
                <w:i/>
                <w:iCs/>
                <w:sz w:val="22"/>
                <w:szCs w:val="22"/>
              </w:rPr>
            </w:pPr>
            <w:r w:rsidRPr="0028297A">
              <w:rPr>
                <w:rFonts w:ascii="Arial" w:hAnsi="Arial" w:cs="Arial"/>
                <w:sz w:val="22"/>
                <w:szCs w:val="22"/>
              </w:rPr>
              <w:t>Atendiendo el perfil requerido, la evaluación de la hoja de vida</w:t>
            </w:r>
            <w:r w:rsidR="00113B0F" w:rsidRPr="0028297A">
              <w:rPr>
                <w:rFonts w:ascii="Arial" w:hAnsi="Arial" w:cs="Arial"/>
                <w:sz w:val="22"/>
                <w:szCs w:val="22"/>
              </w:rPr>
              <w:t xml:space="preserve">, los soportes de estudio y </w:t>
            </w:r>
            <w:r w:rsidR="00113B0F" w:rsidRPr="0028297A">
              <w:rPr>
                <w:rFonts w:ascii="Arial" w:hAnsi="Arial" w:cs="Arial"/>
                <w:bCs/>
                <w:sz w:val="22"/>
                <w:szCs w:val="22"/>
              </w:rPr>
              <w:t xml:space="preserve">las certificaciones aportada al expediente contractual, </w:t>
            </w:r>
            <w:r w:rsidR="00576A7C" w:rsidRPr="0028297A">
              <w:rPr>
                <w:rFonts w:ascii="Arial" w:hAnsi="Arial" w:cs="Arial"/>
                <w:sz w:val="22"/>
                <w:szCs w:val="22"/>
              </w:rPr>
              <w:t>de la persona natural</w:t>
            </w:r>
            <w:r w:rsidRPr="0028297A">
              <w:rPr>
                <w:rFonts w:ascii="Arial" w:hAnsi="Arial" w:cs="Arial"/>
                <w:sz w:val="22"/>
                <w:szCs w:val="22"/>
              </w:rPr>
              <w:t xml:space="preserve"> definida para esta contratación se presenta como anexo al presente estudio mediante el documento </w:t>
            </w:r>
            <w:r w:rsidRPr="0028297A">
              <w:rPr>
                <w:rFonts w:ascii="Arial" w:hAnsi="Arial" w:cs="Arial"/>
                <w:i/>
                <w:iCs/>
                <w:sz w:val="22"/>
                <w:szCs w:val="22"/>
              </w:rPr>
              <w:t>“Certificado de Idoneidad”.</w:t>
            </w:r>
          </w:p>
        </w:tc>
      </w:tr>
      <w:tr w:rsidR="00CB1457" w:rsidRPr="0028297A" w14:paraId="09246DA5" w14:textId="77777777" w:rsidTr="00563B96">
        <w:tc>
          <w:tcPr>
            <w:tcW w:w="9356" w:type="dxa"/>
            <w:gridSpan w:val="2"/>
            <w:shd w:val="clear" w:color="auto" w:fill="B8CCE4" w:themeFill="accent1" w:themeFillTint="66"/>
          </w:tcPr>
          <w:p w14:paraId="55A05953" w14:textId="77777777" w:rsidR="00F1417A" w:rsidRPr="0028297A" w:rsidRDefault="00CB1457" w:rsidP="007426AF">
            <w:pPr>
              <w:jc w:val="center"/>
              <w:rPr>
                <w:rFonts w:ascii="Arial" w:hAnsi="Arial" w:cs="Arial"/>
                <w:b/>
                <w:bCs/>
                <w:sz w:val="22"/>
                <w:szCs w:val="22"/>
              </w:rPr>
            </w:pPr>
            <w:r w:rsidRPr="0028297A">
              <w:rPr>
                <w:rFonts w:ascii="Arial" w:hAnsi="Arial" w:cs="Arial"/>
                <w:b/>
                <w:bCs/>
                <w:sz w:val="22"/>
                <w:szCs w:val="22"/>
              </w:rPr>
              <w:t>AN</w:t>
            </w:r>
            <w:r w:rsidR="00FA438C" w:rsidRPr="0028297A">
              <w:rPr>
                <w:rFonts w:ascii="Arial" w:hAnsi="Arial" w:cs="Arial"/>
                <w:b/>
                <w:bCs/>
                <w:sz w:val="22"/>
                <w:szCs w:val="22"/>
              </w:rPr>
              <w:t>Á</w:t>
            </w:r>
            <w:r w:rsidRPr="0028297A">
              <w:rPr>
                <w:rFonts w:ascii="Arial" w:hAnsi="Arial" w:cs="Arial"/>
                <w:b/>
                <w:bCs/>
                <w:sz w:val="22"/>
                <w:szCs w:val="22"/>
              </w:rPr>
              <w:t>LISIS DE RIESGO</w:t>
            </w:r>
            <w:r w:rsidR="00F1417A" w:rsidRPr="0028297A">
              <w:rPr>
                <w:rFonts w:ascii="Arial" w:hAnsi="Arial" w:cs="Arial"/>
                <w:b/>
                <w:bCs/>
                <w:sz w:val="22"/>
                <w:szCs w:val="22"/>
              </w:rPr>
              <w:t>S</w:t>
            </w:r>
          </w:p>
          <w:p w14:paraId="359AA7CF" w14:textId="3A57CEAB" w:rsidR="00CB1457" w:rsidRPr="0028297A" w:rsidRDefault="00FA438C" w:rsidP="007426AF">
            <w:pPr>
              <w:jc w:val="center"/>
              <w:rPr>
                <w:rFonts w:ascii="Arial" w:hAnsi="Arial" w:cs="Arial"/>
                <w:b/>
                <w:bCs/>
                <w:sz w:val="22"/>
                <w:szCs w:val="22"/>
              </w:rPr>
            </w:pPr>
            <w:r w:rsidRPr="0028297A">
              <w:rPr>
                <w:rFonts w:ascii="Arial" w:hAnsi="Arial" w:cs="Arial"/>
                <w:b/>
                <w:bCs/>
                <w:sz w:val="22"/>
                <w:szCs w:val="22"/>
              </w:rPr>
              <w:t>TIPIFICACIÓN, ASIGNACIÓN Y MITIGACIÓN</w:t>
            </w:r>
          </w:p>
        </w:tc>
      </w:tr>
      <w:tr w:rsidR="00CB1457" w:rsidRPr="0028297A" w14:paraId="56F60AB8" w14:textId="77777777" w:rsidTr="00563B96">
        <w:tc>
          <w:tcPr>
            <w:tcW w:w="9356" w:type="dxa"/>
            <w:gridSpan w:val="2"/>
          </w:tcPr>
          <w:p w14:paraId="6AA58C29" w14:textId="2D4B8C3B" w:rsidR="00CB1457" w:rsidRPr="0028297A" w:rsidRDefault="00CB1457" w:rsidP="007426AF">
            <w:pPr>
              <w:pStyle w:val="Default"/>
              <w:jc w:val="both"/>
              <w:rPr>
                <w:sz w:val="22"/>
                <w:szCs w:val="22"/>
                <w:lang w:val="es-ES_tradnl"/>
              </w:rPr>
            </w:pPr>
            <w:r w:rsidRPr="0028297A">
              <w:rPr>
                <w:sz w:val="22"/>
                <w:szCs w:val="22"/>
                <w:lang w:val="es-ES_tradnl"/>
              </w:rPr>
              <w:t>De conformidad con lo establecido en el</w:t>
            </w:r>
            <w:r w:rsidR="00113B0F" w:rsidRPr="0028297A">
              <w:rPr>
                <w:sz w:val="22"/>
                <w:szCs w:val="22"/>
                <w:lang w:val="es-ES_tradnl"/>
              </w:rPr>
              <w:t xml:space="preserve"> </w:t>
            </w:r>
            <w:r w:rsidR="00113B0F" w:rsidRPr="0028297A">
              <w:rPr>
                <w:color w:val="auto"/>
                <w:sz w:val="22"/>
                <w:szCs w:val="22"/>
              </w:rPr>
              <w:t xml:space="preserve">artículo 2.2.1.1.1.6.3 del </w:t>
            </w:r>
            <w:r w:rsidRPr="0028297A">
              <w:rPr>
                <w:sz w:val="22"/>
                <w:szCs w:val="22"/>
                <w:lang w:val="es-ES_tradnl"/>
              </w:rPr>
              <w:t>Decreto 1082 de 2015 reglamentario de la Ley 1150 de 2007</w:t>
            </w:r>
            <w:r w:rsidR="00113B0F" w:rsidRPr="0028297A">
              <w:rPr>
                <w:sz w:val="22"/>
                <w:szCs w:val="22"/>
                <w:lang w:val="es-ES_tradnl"/>
              </w:rPr>
              <w:t xml:space="preserve"> y</w:t>
            </w:r>
            <w:r w:rsidR="00113B0F" w:rsidRPr="0028297A">
              <w:rPr>
                <w:color w:val="auto"/>
                <w:sz w:val="22"/>
                <w:szCs w:val="22"/>
              </w:rPr>
              <w:t xml:space="preserve"> en los lineamientos del Manual para la Identificación y Cobertura del Riesgo en los Procesos de Contratación expedido por Colombia Compra </w:t>
            </w:r>
            <w:r w:rsidR="00113B0F" w:rsidRPr="0028297A">
              <w:rPr>
                <w:color w:val="auto"/>
                <w:sz w:val="22"/>
                <w:szCs w:val="22"/>
              </w:rPr>
              <w:lastRenderedPageBreak/>
              <w:t>Eficiente</w:t>
            </w:r>
            <w:r w:rsidRPr="0028297A">
              <w:rPr>
                <w:sz w:val="22"/>
                <w:szCs w:val="22"/>
                <w:lang w:val="es-ES_tradnl"/>
              </w:rPr>
              <w:t xml:space="preserve">, se procede a tipificar estimar y asignar </w:t>
            </w:r>
            <w:r w:rsidR="00113B0F" w:rsidRPr="0028297A">
              <w:rPr>
                <w:sz w:val="22"/>
                <w:szCs w:val="22"/>
                <w:lang w:val="es-ES_tradnl"/>
              </w:rPr>
              <w:t xml:space="preserve">los riesgos previsibles </w:t>
            </w:r>
            <w:r w:rsidRPr="0028297A">
              <w:rPr>
                <w:sz w:val="22"/>
                <w:szCs w:val="22"/>
                <w:lang w:val="es-ES_tradnl"/>
              </w:rPr>
              <w:t xml:space="preserve">que debido a los posibles hechos o circunstancias </w:t>
            </w:r>
            <w:r w:rsidR="00113B0F" w:rsidRPr="0028297A">
              <w:rPr>
                <w:sz w:val="22"/>
                <w:szCs w:val="22"/>
                <w:lang w:val="es-ES_tradnl"/>
              </w:rPr>
              <w:t>de</w:t>
            </w:r>
            <w:r w:rsidRPr="0028297A">
              <w:rPr>
                <w:sz w:val="22"/>
                <w:szCs w:val="22"/>
                <w:lang w:val="es-ES_tradnl"/>
              </w:rPr>
              <w:t xml:space="preserve"> la naturaleza del contrato y la actividad se presente.</w:t>
            </w:r>
          </w:p>
          <w:p w14:paraId="2D84B5CF" w14:textId="77777777" w:rsidR="00AD420C" w:rsidRPr="0028297A" w:rsidRDefault="00AD420C" w:rsidP="007426AF">
            <w:pPr>
              <w:pStyle w:val="Default"/>
              <w:jc w:val="both"/>
              <w:rPr>
                <w:sz w:val="22"/>
                <w:szCs w:val="22"/>
                <w:lang w:val="es-ES_tradnl"/>
              </w:rPr>
            </w:pPr>
          </w:p>
          <w:p w14:paraId="30D42E04" w14:textId="0FC5ACD9" w:rsidR="00CB1457" w:rsidRPr="0028297A" w:rsidRDefault="00CB1457" w:rsidP="007426AF">
            <w:pPr>
              <w:pStyle w:val="Default"/>
              <w:jc w:val="both"/>
              <w:rPr>
                <w:sz w:val="22"/>
                <w:szCs w:val="22"/>
                <w:lang w:val="es-ES_tradnl"/>
              </w:rPr>
            </w:pPr>
            <w:r w:rsidRPr="0028297A">
              <w:rPr>
                <w:sz w:val="22"/>
                <w:szCs w:val="22"/>
                <w:lang w:val="es-ES_tradnl"/>
              </w:rPr>
              <w:t>Matriz</w:t>
            </w:r>
            <w:r w:rsidR="00113B0F" w:rsidRPr="0028297A">
              <w:rPr>
                <w:sz w:val="22"/>
                <w:szCs w:val="22"/>
                <w:lang w:val="es-ES_tradnl"/>
              </w:rPr>
              <w:t xml:space="preserve"> de riesgos</w:t>
            </w:r>
            <w:r w:rsidRPr="0028297A">
              <w:rPr>
                <w:sz w:val="22"/>
                <w:szCs w:val="22"/>
                <w:lang w:val="es-ES_tradnl"/>
              </w:rPr>
              <w:t xml:space="preserve"> anexa</w:t>
            </w:r>
          </w:p>
        </w:tc>
      </w:tr>
      <w:tr w:rsidR="00CB1457" w:rsidRPr="0028297A" w14:paraId="246FCF57" w14:textId="77777777" w:rsidTr="00563B96">
        <w:tc>
          <w:tcPr>
            <w:tcW w:w="9356" w:type="dxa"/>
            <w:gridSpan w:val="2"/>
            <w:shd w:val="clear" w:color="auto" w:fill="B8CCE4" w:themeFill="accent1" w:themeFillTint="66"/>
          </w:tcPr>
          <w:p w14:paraId="5F53945E" w14:textId="2717BFA9" w:rsidR="00CB1457" w:rsidRPr="0028297A" w:rsidRDefault="00CB1457" w:rsidP="007426AF">
            <w:pPr>
              <w:jc w:val="center"/>
              <w:rPr>
                <w:rFonts w:ascii="Arial" w:hAnsi="Arial" w:cs="Arial"/>
                <w:b/>
                <w:bCs/>
                <w:sz w:val="22"/>
                <w:szCs w:val="22"/>
              </w:rPr>
            </w:pPr>
            <w:r w:rsidRPr="0028297A">
              <w:rPr>
                <w:rFonts w:ascii="Arial" w:hAnsi="Arial" w:cs="Arial"/>
                <w:b/>
                <w:bCs/>
                <w:sz w:val="22"/>
                <w:szCs w:val="22"/>
              </w:rPr>
              <w:lastRenderedPageBreak/>
              <w:t>ANÁLISIS QUE SUSTENTA LA EXIGENCIA DE GARANT</w:t>
            </w:r>
            <w:r w:rsidR="00B563DA">
              <w:rPr>
                <w:rFonts w:ascii="Arial" w:hAnsi="Arial" w:cs="Arial"/>
                <w:b/>
                <w:bCs/>
                <w:sz w:val="22"/>
                <w:szCs w:val="22"/>
              </w:rPr>
              <w:t>Í</w:t>
            </w:r>
            <w:r w:rsidRPr="0028297A">
              <w:rPr>
                <w:rFonts w:ascii="Arial" w:hAnsi="Arial" w:cs="Arial"/>
                <w:b/>
                <w:bCs/>
                <w:sz w:val="22"/>
                <w:szCs w:val="22"/>
              </w:rPr>
              <w:t>AS DESTINADAS A QUE AMPAREN LOS PERJUICIOS DE NATURALEZA CONTRACTUAL O EXTRACONTRACTUAL</w:t>
            </w:r>
          </w:p>
        </w:tc>
      </w:tr>
      <w:tr w:rsidR="00CB1457" w:rsidRPr="0028297A" w14:paraId="7A69DCAC" w14:textId="77777777" w:rsidTr="00563B96">
        <w:tc>
          <w:tcPr>
            <w:tcW w:w="9356" w:type="dxa"/>
            <w:gridSpan w:val="2"/>
          </w:tcPr>
          <w:p w14:paraId="3A4EC1B4" w14:textId="7DF0A54A" w:rsidR="00CB1457" w:rsidRPr="0028297A" w:rsidRDefault="00F61E75" w:rsidP="001C3D9F">
            <w:pPr>
              <w:tabs>
                <w:tab w:val="left" w:pos="9320"/>
              </w:tabs>
              <w:jc w:val="both"/>
              <w:rPr>
                <w:rFonts w:ascii="Arial" w:hAnsi="Arial" w:cs="Arial"/>
                <w:bCs/>
                <w:sz w:val="22"/>
                <w:szCs w:val="22"/>
              </w:rPr>
            </w:pPr>
            <w:r w:rsidRPr="00AD420C">
              <w:rPr>
                <w:rFonts w:ascii="Arial" w:hAnsi="Arial" w:cs="Arial"/>
                <w:bCs/>
                <w:sz w:val="22"/>
                <w:szCs w:val="22"/>
              </w:rPr>
              <w:t>En cumplimiento de lo dispuesto en la Ley 80 de 1993, la Ley 1150 de 2007 y en los</w:t>
            </w:r>
            <w:r>
              <w:rPr>
                <w:rFonts w:ascii="Arial" w:hAnsi="Arial" w:cs="Arial"/>
                <w:bCs/>
                <w:sz w:val="22"/>
                <w:szCs w:val="22"/>
              </w:rPr>
              <w:t xml:space="preserve"> </w:t>
            </w:r>
            <w:r w:rsidRPr="00AD420C">
              <w:rPr>
                <w:rFonts w:ascii="Arial" w:hAnsi="Arial" w:cs="Arial"/>
                <w:bCs/>
                <w:sz w:val="22"/>
                <w:szCs w:val="22"/>
              </w:rPr>
              <w:t>artículos 2.2.1.1.2.1.1 y 2.2.1.2.1.4.5</w:t>
            </w:r>
            <w:r>
              <w:rPr>
                <w:rFonts w:ascii="Arial" w:hAnsi="Arial" w:cs="Arial"/>
                <w:bCs/>
                <w:sz w:val="22"/>
                <w:szCs w:val="22"/>
              </w:rPr>
              <w:t xml:space="preserve"> </w:t>
            </w:r>
            <w:r w:rsidRPr="00AD420C">
              <w:rPr>
                <w:rFonts w:ascii="Arial" w:hAnsi="Arial" w:cs="Arial"/>
                <w:bCs/>
                <w:sz w:val="22"/>
                <w:szCs w:val="22"/>
              </w:rPr>
              <w:t xml:space="preserve"> del Decreto 1082 de 2015, teniendo en cuenta el</w:t>
            </w:r>
            <w:r>
              <w:rPr>
                <w:rFonts w:ascii="Arial" w:hAnsi="Arial" w:cs="Arial"/>
                <w:bCs/>
                <w:sz w:val="22"/>
                <w:szCs w:val="22"/>
              </w:rPr>
              <w:t xml:space="preserve"> </w:t>
            </w:r>
            <w:r w:rsidRPr="00AD420C">
              <w:rPr>
                <w:rFonts w:ascii="Arial" w:hAnsi="Arial" w:cs="Arial"/>
                <w:bCs/>
                <w:sz w:val="22"/>
                <w:szCs w:val="22"/>
              </w:rPr>
              <w:t>análisis de riesgo que se anexa, no se exige la constitución de ninguna garantía a cargo</w:t>
            </w:r>
            <w:r>
              <w:rPr>
                <w:rFonts w:ascii="Arial" w:hAnsi="Arial" w:cs="Arial"/>
                <w:bCs/>
                <w:sz w:val="22"/>
                <w:szCs w:val="22"/>
              </w:rPr>
              <w:t xml:space="preserve"> </w:t>
            </w:r>
            <w:r w:rsidRPr="00AD420C">
              <w:rPr>
                <w:rFonts w:ascii="Arial" w:hAnsi="Arial" w:cs="Arial"/>
                <w:bCs/>
                <w:sz w:val="22"/>
                <w:szCs w:val="22"/>
              </w:rPr>
              <w:t>del contratista</w:t>
            </w:r>
            <w:r>
              <w:rPr>
                <w:rFonts w:ascii="Arial" w:hAnsi="Arial" w:cs="Arial"/>
                <w:bCs/>
                <w:sz w:val="22"/>
                <w:szCs w:val="22"/>
              </w:rPr>
              <w:t>.</w:t>
            </w:r>
          </w:p>
        </w:tc>
      </w:tr>
      <w:tr w:rsidR="00CB1457" w:rsidRPr="0028297A" w14:paraId="1E98C4D0" w14:textId="77777777" w:rsidTr="00563B96">
        <w:tc>
          <w:tcPr>
            <w:tcW w:w="9356" w:type="dxa"/>
            <w:gridSpan w:val="2"/>
            <w:shd w:val="clear" w:color="auto" w:fill="B8CCE4" w:themeFill="accent1" w:themeFillTint="66"/>
          </w:tcPr>
          <w:p w14:paraId="4A439ADC" w14:textId="77777777" w:rsidR="00CB1457" w:rsidRPr="0028297A" w:rsidRDefault="00CB1457" w:rsidP="007426AF">
            <w:pPr>
              <w:jc w:val="center"/>
              <w:rPr>
                <w:rFonts w:ascii="Arial" w:hAnsi="Arial" w:cs="Arial"/>
                <w:b/>
                <w:sz w:val="22"/>
                <w:szCs w:val="22"/>
              </w:rPr>
            </w:pPr>
            <w:r w:rsidRPr="0028297A">
              <w:rPr>
                <w:rFonts w:ascii="Arial" w:hAnsi="Arial" w:cs="Arial"/>
                <w:b/>
                <w:sz w:val="22"/>
                <w:szCs w:val="22"/>
              </w:rPr>
              <w:t>ACUERDO COMERCIAL</w:t>
            </w:r>
          </w:p>
        </w:tc>
      </w:tr>
      <w:tr w:rsidR="00CB1457" w:rsidRPr="0028297A" w14:paraId="73FEC93F" w14:textId="77777777" w:rsidTr="00563B96">
        <w:tc>
          <w:tcPr>
            <w:tcW w:w="9356" w:type="dxa"/>
            <w:gridSpan w:val="2"/>
          </w:tcPr>
          <w:p w14:paraId="7E8C5D22" w14:textId="77777777" w:rsidR="00F07C78" w:rsidRDefault="00F07C78" w:rsidP="007426AF">
            <w:pPr>
              <w:jc w:val="both"/>
              <w:rPr>
                <w:rFonts w:ascii="Arial" w:hAnsi="Arial" w:cs="Arial"/>
                <w:i/>
                <w:iCs/>
                <w:sz w:val="22"/>
                <w:szCs w:val="22"/>
              </w:rPr>
            </w:pPr>
            <w:r w:rsidRPr="0028297A">
              <w:rPr>
                <w:rFonts w:ascii="Arial" w:hAnsi="Arial" w:cs="Arial"/>
                <w:bCs/>
                <w:sz w:val="22"/>
                <w:szCs w:val="22"/>
              </w:rPr>
              <w:t xml:space="preserve">De acuerdo </w:t>
            </w:r>
            <w:r w:rsidR="007426AF" w:rsidRPr="0028297A">
              <w:rPr>
                <w:rFonts w:ascii="Arial" w:hAnsi="Arial" w:cs="Arial"/>
                <w:bCs/>
                <w:sz w:val="22"/>
                <w:szCs w:val="22"/>
              </w:rPr>
              <w:t>con</w:t>
            </w:r>
            <w:r w:rsidRPr="0028297A">
              <w:rPr>
                <w:rFonts w:ascii="Arial" w:hAnsi="Arial" w:cs="Arial"/>
                <w:bCs/>
                <w:sz w:val="22"/>
                <w:szCs w:val="22"/>
              </w:rPr>
              <w:t xml:space="preserve"> lo establecido por la </w:t>
            </w:r>
            <w:r w:rsidRPr="0028297A">
              <w:rPr>
                <w:rFonts w:ascii="Arial" w:hAnsi="Arial" w:cs="Arial"/>
                <w:sz w:val="22"/>
                <w:szCs w:val="22"/>
              </w:rPr>
              <w:t>Agencia Nacional de Contratación Pública – Colombia Compra Eficiente, en el Manual para el manejo de los Acuerdos Comerciales en Procesos de Contratación, respecto de la aplicación de Acuerdos Comerciales ha indicado que</w:t>
            </w:r>
            <w:r w:rsidR="00B565AF" w:rsidRPr="0028297A">
              <w:rPr>
                <w:rFonts w:ascii="Arial" w:hAnsi="Arial" w:cs="Arial"/>
                <w:sz w:val="22"/>
                <w:szCs w:val="22"/>
              </w:rPr>
              <w:t xml:space="preserve"> </w:t>
            </w:r>
            <w:r w:rsidR="00B565AF" w:rsidRPr="0028297A">
              <w:rPr>
                <w:rFonts w:ascii="Arial" w:hAnsi="Arial" w:cs="Arial"/>
                <w:i/>
                <w:iCs/>
                <w:sz w:val="22"/>
                <w:szCs w:val="22"/>
              </w:rPr>
              <w:t>“(...) Las Entidades Estatales que adelantan sus Procesos de Contratación con las Leyes 80 de 1993 y 1150 de 2007 no deben hacer este análisis en las modalidades de selección de contratación directa y de mínima cuantía (…)”.</w:t>
            </w:r>
          </w:p>
          <w:p w14:paraId="4A500C7E" w14:textId="77777777" w:rsidR="009276DF" w:rsidRDefault="009276DF" w:rsidP="007426AF">
            <w:pPr>
              <w:jc w:val="both"/>
              <w:rPr>
                <w:rFonts w:ascii="Arial" w:hAnsi="Arial" w:cs="Arial"/>
                <w:bCs/>
                <w:sz w:val="22"/>
                <w:szCs w:val="22"/>
              </w:rPr>
            </w:pPr>
          </w:p>
          <w:p w14:paraId="09A40274" w14:textId="5ACB74E3" w:rsidR="00134C64" w:rsidRPr="0028297A" w:rsidRDefault="00134C64" w:rsidP="007426AF">
            <w:pPr>
              <w:jc w:val="both"/>
              <w:rPr>
                <w:rFonts w:ascii="Arial" w:hAnsi="Arial" w:cs="Arial"/>
                <w:bCs/>
                <w:sz w:val="22"/>
                <w:szCs w:val="22"/>
              </w:rPr>
            </w:pPr>
          </w:p>
        </w:tc>
      </w:tr>
      <w:tr w:rsidR="00CB1457" w:rsidRPr="007426AF" w14:paraId="1B1F3AEB" w14:textId="77777777" w:rsidTr="00563B96">
        <w:tc>
          <w:tcPr>
            <w:tcW w:w="9356" w:type="dxa"/>
            <w:gridSpan w:val="2"/>
          </w:tcPr>
          <w:p w14:paraId="55833AFB" w14:textId="0289C1DE" w:rsidR="009A60B0" w:rsidRPr="0028297A" w:rsidRDefault="00CB1457" w:rsidP="007426AF">
            <w:pPr>
              <w:jc w:val="both"/>
              <w:rPr>
                <w:rFonts w:ascii="Arial" w:hAnsi="Arial" w:cs="Arial"/>
                <w:sz w:val="22"/>
                <w:szCs w:val="22"/>
              </w:rPr>
            </w:pPr>
            <w:r w:rsidRPr="0028297A">
              <w:rPr>
                <w:rFonts w:ascii="Arial" w:hAnsi="Arial" w:cs="Arial"/>
                <w:sz w:val="22"/>
                <w:szCs w:val="22"/>
              </w:rPr>
              <w:t xml:space="preserve">El presente estudio previo se suscribe, </w:t>
            </w:r>
            <w:r w:rsidR="009A60B0" w:rsidRPr="0028297A">
              <w:rPr>
                <w:rFonts w:ascii="Arial" w:hAnsi="Arial" w:cs="Arial"/>
                <w:sz w:val="22"/>
                <w:szCs w:val="22"/>
              </w:rPr>
              <w:t>a lo</w:t>
            </w:r>
            <w:r w:rsidR="00B563DA">
              <w:rPr>
                <w:rFonts w:ascii="Arial" w:hAnsi="Arial" w:cs="Arial"/>
                <w:sz w:val="22"/>
                <w:szCs w:val="22"/>
              </w:rPr>
              <w:t xml:space="preserve">s </w:t>
            </w:r>
            <w:r w:rsidR="00F61E75">
              <w:rPr>
                <w:rFonts w:ascii="Arial" w:hAnsi="Arial" w:cs="Arial"/>
                <w:sz w:val="22"/>
                <w:szCs w:val="22"/>
                <w:highlight w:val="yellow"/>
              </w:rPr>
              <w:t xml:space="preserve"> </w:t>
            </w:r>
            <w:r w:rsidR="00B563DA" w:rsidRPr="00422494">
              <w:rPr>
                <w:rFonts w:ascii="Arial" w:hAnsi="Arial" w:cs="Arial"/>
                <w:sz w:val="22"/>
                <w:szCs w:val="22"/>
                <w:highlight w:val="yellow"/>
              </w:rPr>
              <w:t xml:space="preserve"> </w:t>
            </w:r>
            <w:r w:rsidR="009276DF">
              <w:rPr>
                <w:rFonts w:ascii="Arial" w:hAnsi="Arial" w:cs="Arial"/>
                <w:sz w:val="22"/>
                <w:szCs w:val="22"/>
                <w:highlight w:val="yellow"/>
              </w:rPr>
              <w:t xml:space="preserve"> </w:t>
            </w:r>
            <w:r w:rsidR="00AD420C" w:rsidRPr="00422494">
              <w:rPr>
                <w:rFonts w:ascii="Arial" w:hAnsi="Arial" w:cs="Arial"/>
                <w:sz w:val="22"/>
                <w:szCs w:val="22"/>
                <w:highlight w:val="yellow"/>
              </w:rPr>
              <w:t>(</w:t>
            </w:r>
            <w:r w:rsidR="00422494">
              <w:rPr>
                <w:rFonts w:ascii="Arial" w:hAnsi="Arial" w:cs="Arial"/>
                <w:sz w:val="22"/>
                <w:szCs w:val="22"/>
                <w:highlight w:val="yellow"/>
              </w:rPr>
              <w:t>xx</w:t>
            </w:r>
            <w:r w:rsidR="009A60B0" w:rsidRPr="00422494">
              <w:rPr>
                <w:rFonts w:ascii="Arial" w:hAnsi="Arial" w:cs="Arial"/>
                <w:sz w:val="22"/>
                <w:szCs w:val="22"/>
                <w:highlight w:val="yellow"/>
              </w:rPr>
              <w:t xml:space="preserve">) días del mes de </w:t>
            </w:r>
            <w:r w:rsidR="007D3EE4">
              <w:rPr>
                <w:rFonts w:ascii="Arial" w:hAnsi="Arial" w:cs="Arial"/>
                <w:sz w:val="22"/>
                <w:szCs w:val="22"/>
              </w:rPr>
              <w:t>XXXXXX de XXXXXX</w:t>
            </w:r>
            <w:r w:rsidR="009A60B0" w:rsidRPr="0028297A">
              <w:rPr>
                <w:rFonts w:ascii="Arial" w:hAnsi="Arial" w:cs="Arial"/>
                <w:sz w:val="22"/>
                <w:szCs w:val="22"/>
              </w:rPr>
              <w:t>.</w:t>
            </w:r>
          </w:p>
          <w:p w14:paraId="107B5D11" w14:textId="77777777" w:rsidR="00CB1457" w:rsidRPr="0028297A" w:rsidRDefault="00CB1457" w:rsidP="007426AF">
            <w:pPr>
              <w:rPr>
                <w:rFonts w:ascii="Arial" w:hAnsi="Arial" w:cs="Arial"/>
                <w:sz w:val="22"/>
                <w:szCs w:val="22"/>
              </w:rPr>
            </w:pPr>
          </w:p>
          <w:p w14:paraId="78914C00" w14:textId="42B7C100" w:rsidR="007426AF" w:rsidRDefault="007426AF" w:rsidP="007426AF">
            <w:pPr>
              <w:rPr>
                <w:rFonts w:ascii="Arial" w:hAnsi="Arial" w:cs="Arial"/>
                <w:sz w:val="22"/>
                <w:szCs w:val="22"/>
              </w:rPr>
            </w:pPr>
          </w:p>
          <w:p w14:paraId="1E73F45E" w14:textId="77777777" w:rsidR="00B563DA" w:rsidRDefault="00B563DA" w:rsidP="007426AF">
            <w:pPr>
              <w:rPr>
                <w:rFonts w:ascii="Arial" w:hAnsi="Arial" w:cs="Arial"/>
                <w:sz w:val="22"/>
                <w:szCs w:val="22"/>
              </w:rPr>
            </w:pPr>
          </w:p>
          <w:p w14:paraId="669A262F" w14:textId="77777777" w:rsidR="00B563DA" w:rsidRPr="0028297A" w:rsidRDefault="00B563DA" w:rsidP="007426AF">
            <w:pPr>
              <w:rPr>
                <w:rFonts w:ascii="Arial" w:hAnsi="Arial" w:cs="Arial"/>
                <w:sz w:val="22"/>
                <w:szCs w:val="22"/>
              </w:rPr>
            </w:pPr>
          </w:p>
          <w:p w14:paraId="0448B9AF" w14:textId="77777777" w:rsidR="000B05C6" w:rsidRPr="0028297A" w:rsidRDefault="000B05C6" w:rsidP="007426AF">
            <w:pPr>
              <w:rPr>
                <w:rFonts w:ascii="Arial" w:hAnsi="Arial" w:cs="Arial"/>
                <w:sz w:val="22"/>
                <w:szCs w:val="22"/>
              </w:rPr>
            </w:pPr>
          </w:p>
          <w:p w14:paraId="2FBD0C33" w14:textId="77777777" w:rsidR="007D3EE4" w:rsidRDefault="007D3EE4" w:rsidP="007426AF">
            <w:pPr>
              <w:rPr>
                <w:rFonts w:ascii="Arial" w:hAnsi="Arial" w:cs="Arial"/>
                <w:b/>
                <w:sz w:val="22"/>
                <w:szCs w:val="22"/>
              </w:rPr>
            </w:pPr>
            <w:r>
              <w:rPr>
                <w:rFonts w:ascii="Arial" w:hAnsi="Arial" w:cs="Arial"/>
                <w:b/>
                <w:sz w:val="22"/>
                <w:szCs w:val="22"/>
              </w:rPr>
              <w:t>XXXXXXXXXXXXX</w:t>
            </w:r>
          </w:p>
          <w:p w14:paraId="14A31A22" w14:textId="464F87E1" w:rsidR="00CB1457" w:rsidRPr="0028297A" w:rsidRDefault="00CB1457" w:rsidP="007426AF">
            <w:pPr>
              <w:rPr>
                <w:rFonts w:ascii="Arial" w:hAnsi="Arial" w:cs="Arial"/>
                <w:sz w:val="22"/>
                <w:szCs w:val="22"/>
              </w:rPr>
            </w:pPr>
            <w:r w:rsidRPr="0028297A">
              <w:rPr>
                <w:rFonts w:ascii="Arial" w:hAnsi="Arial" w:cs="Arial"/>
                <w:sz w:val="22"/>
                <w:szCs w:val="22"/>
              </w:rPr>
              <w:t>EDAT S.A E.S.P</w:t>
            </w:r>
            <w:r w:rsidR="00E01578" w:rsidRPr="0028297A">
              <w:rPr>
                <w:rFonts w:ascii="Arial" w:hAnsi="Arial" w:cs="Arial"/>
                <w:sz w:val="22"/>
                <w:szCs w:val="22"/>
              </w:rPr>
              <w:t>.</w:t>
            </w:r>
            <w:r w:rsidRPr="0028297A">
              <w:rPr>
                <w:rFonts w:ascii="Arial" w:hAnsi="Arial" w:cs="Arial"/>
                <w:sz w:val="22"/>
                <w:szCs w:val="22"/>
              </w:rPr>
              <w:t xml:space="preserve"> O</w:t>
            </w:r>
            <w:r w:rsidR="00CA7622" w:rsidRPr="0028297A">
              <w:rPr>
                <w:rFonts w:ascii="Arial" w:hAnsi="Arial" w:cs="Arial"/>
                <w:sz w:val="22"/>
                <w:szCs w:val="22"/>
              </w:rPr>
              <w:t>ficial</w:t>
            </w:r>
          </w:p>
          <w:p w14:paraId="2533E86A" w14:textId="77777777" w:rsidR="00A95149" w:rsidRPr="0028297A" w:rsidRDefault="00A95149" w:rsidP="007426AF">
            <w:pPr>
              <w:rPr>
                <w:rFonts w:ascii="Arial" w:hAnsi="Arial" w:cs="Arial"/>
                <w:i/>
                <w:iCs/>
                <w:sz w:val="14"/>
                <w:szCs w:val="14"/>
                <w:lang w:val="es-ES"/>
              </w:rPr>
            </w:pPr>
          </w:p>
          <w:p w14:paraId="1B8107A3" w14:textId="2495A286" w:rsidR="00CB1457" w:rsidRPr="0028297A" w:rsidRDefault="009A60B0" w:rsidP="007426AF">
            <w:pPr>
              <w:rPr>
                <w:rFonts w:ascii="Arial" w:hAnsi="Arial" w:cs="Arial"/>
                <w:i/>
                <w:iCs/>
                <w:sz w:val="14"/>
                <w:szCs w:val="14"/>
                <w:lang w:val="es-ES"/>
              </w:rPr>
            </w:pPr>
            <w:r w:rsidRPr="0028297A">
              <w:rPr>
                <w:rFonts w:ascii="Arial" w:hAnsi="Arial" w:cs="Arial"/>
                <w:i/>
                <w:iCs/>
                <w:sz w:val="14"/>
                <w:szCs w:val="14"/>
                <w:lang w:val="es-ES"/>
              </w:rPr>
              <w:t>Proyectó: Andrea Ariza Tovar- Abogada Contratista SGJ</w:t>
            </w:r>
            <w:r w:rsidR="007426AF" w:rsidRPr="0028297A">
              <w:rPr>
                <w:rFonts w:ascii="Arial" w:hAnsi="Arial" w:cs="Arial"/>
                <w:i/>
                <w:iCs/>
                <w:sz w:val="14"/>
                <w:szCs w:val="14"/>
                <w:lang w:val="es-ES"/>
              </w:rPr>
              <w:t xml:space="preserve"> de la </w:t>
            </w:r>
            <w:r w:rsidR="007426AF" w:rsidRPr="0028297A">
              <w:rPr>
                <w:rFonts w:ascii="Arial" w:eastAsia="Calibri" w:hAnsi="Arial" w:cs="Arial"/>
                <w:i/>
                <w:sz w:val="14"/>
                <w:szCs w:val="14"/>
                <w:lang w:val="es-CO" w:eastAsia="en-US"/>
              </w:rPr>
              <w:t>EDAT S.A Oficial.</w:t>
            </w:r>
          </w:p>
          <w:p w14:paraId="07CA300F" w14:textId="03D5FE2B" w:rsidR="00CB1457" w:rsidRDefault="00CB1457" w:rsidP="007426AF">
            <w:pPr>
              <w:rPr>
                <w:rFonts w:ascii="Arial" w:eastAsia="Calibri" w:hAnsi="Arial" w:cs="Arial"/>
                <w:i/>
                <w:sz w:val="14"/>
                <w:szCs w:val="14"/>
                <w:lang w:val="es-CO" w:eastAsia="en-US"/>
              </w:rPr>
            </w:pPr>
            <w:r w:rsidRPr="0028297A">
              <w:rPr>
                <w:rFonts w:ascii="Arial" w:eastAsia="Calibri" w:hAnsi="Arial" w:cs="Arial"/>
                <w:i/>
                <w:sz w:val="14"/>
                <w:szCs w:val="14"/>
                <w:lang w:val="es-CO" w:eastAsia="en-US"/>
              </w:rPr>
              <w:t>Revis</w:t>
            </w:r>
            <w:r w:rsidR="00CA7622" w:rsidRPr="0028297A">
              <w:rPr>
                <w:rFonts w:ascii="Arial" w:eastAsia="Calibri" w:hAnsi="Arial" w:cs="Arial"/>
                <w:i/>
                <w:sz w:val="14"/>
                <w:szCs w:val="14"/>
                <w:lang w:val="es-CO" w:eastAsia="en-US"/>
              </w:rPr>
              <w:t>ó</w:t>
            </w:r>
            <w:r w:rsidRPr="0028297A">
              <w:rPr>
                <w:rFonts w:ascii="Arial" w:eastAsia="Calibri" w:hAnsi="Arial" w:cs="Arial"/>
                <w:i/>
                <w:sz w:val="14"/>
                <w:szCs w:val="14"/>
                <w:lang w:val="es-CO" w:eastAsia="en-US"/>
              </w:rPr>
              <w:t xml:space="preserve">: </w:t>
            </w:r>
            <w:r w:rsidR="009276DF">
              <w:rPr>
                <w:rFonts w:ascii="Arial" w:eastAsia="Calibri" w:hAnsi="Arial" w:cs="Arial"/>
                <w:i/>
                <w:sz w:val="14"/>
                <w:szCs w:val="14"/>
                <w:lang w:val="es-CO" w:eastAsia="en-US"/>
              </w:rPr>
              <w:t xml:space="preserve">Viviana Marcela Acosta </w:t>
            </w:r>
            <w:proofErr w:type="spellStart"/>
            <w:r w:rsidR="009276DF">
              <w:rPr>
                <w:rFonts w:ascii="Arial" w:eastAsia="Calibri" w:hAnsi="Arial" w:cs="Arial"/>
                <w:i/>
                <w:sz w:val="14"/>
                <w:szCs w:val="14"/>
                <w:lang w:val="es-CO" w:eastAsia="en-US"/>
              </w:rPr>
              <w:t>Leyton</w:t>
            </w:r>
            <w:proofErr w:type="spellEnd"/>
            <w:r w:rsidRPr="0028297A">
              <w:rPr>
                <w:rFonts w:ascii="Arial" w:eastAsia="Calibri" w:hAnsi="Arial" w:cs="Arial"/>
                <w:i/>
                <w:sz w:val="14"/>
                <w:szCs w:val="14"/>
                <w:lang w:val="es-CO" w:eastAsia="en-US"/>
              </w:rPr>
              <w:t>– Sec</w:t>
            </w:r>
            <w:r w:rsidR="00CA7622" w:rsidRPr="0028297A">
              <w:rPr>
                <w:rFonts w:ascii="Arial" w:eastAsia="Calibri" w:hAnsi="Arial" w:cs="Arial"/>
                <w:i/>
                <w:sz w:val="14"/>
                <w:szCs w:val="14"/>
                <w:lang w:val="es-CO" w:eastAsia="en-US"/>
              </w:rPr>
              <w:t>retaria</w:t>
            </w:r>
            <w:r w:rsidRPr="0028297A">
              <w:rPr>
                <w:rFonts w:ascii="Arial" w:eastAsia="Calibri" w:hAnsi="Arial" w:cs="Arial"/>
                <w:i/>
                <w:sz w:val="14"/>
                <w:szCs w:val="14"/>
                <w:lang w:val="es-CO" w:eastAsia="en-US"/>
              </w:rPr>
              <w:t xml:space="preserve"> General y Jurídic</w:t>
            </w:r>
            <w:r w:rsidR="00CA7622" w:rsidRPr="0028297A">
              <w:rPr>
                <w:rFonts w:ascii="Arial" w:eastAsia="Calibri" w:hAnsi="Arial" w:cs="Arial"/>
                <w:i/>
                <w:sz w:val="14"/>
                <w:szCs w:val="14"/>
                <w:lang w:val="es-CO" w:eastAsia="en-US"/>
              </w:rPr>
              <w:t>a de la EDAT S.A Oficial.</w:t>
            </w:r>
          </w:p>
          <w:p w14:paraId="4C2AA596" w14:textId="5DEA7CA6" w:rsidR="000B05C6" w:rsidRPr="007426AF" w:rsidRDefault="000B05C6" w:rsidP="007426AF">
            <w:pPr>
              <w:rPr>
                <w:rFonts w:ascii="Arial" w:hAnsi="Arial" w:cs="Arial"/>
                <w:sz w:val="22"/>
                <w:szCs w:val="22"/>
              </w:rPr>
            </w:pPr>
          </w:p>
        </w:tc>
      </w:tr>
    </w:tbl>
    <w:p w14:paraId="18241188" w14:textId="77777777" w:rsidR="0025367D" w:rsidRPr="007426AF" w:rsidRDefault="0025367D" w:rsidP="007426AF">
      <w:pPr>
        <w:rPr>
          <w:rFonts w:ascii="Arial" w:hAnsi="Arial" w:cs="Arial"/>
          <w:sz w:val="22"/>
          <w:szCs w:val="22"/>
        </w:rPr>
      </w:pPr>
    </w:p>
    <w:sectPr w:rsidR="0025367D" w:rsidRPr="007426AF" w:rsidSect="00B17314">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4164D" w14:textId="77777777" w:rsidR="00F76BD6" w:rsidRDefault="00F76BD6" w:rsidP="002A00FA">
      <w:r>
        <w:separator/>
      </w:r>
    </w:p>
  </w:endnote>
  <w:endnote w:type="continuationSeparator" w:id="0">
    <w:p w14:paraId="5099046F" w14:textId="77777777" w:rsidR="00F76BD6" w:rsidRDefault="00F76BD6" w:rsidP="002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70F91" w14:textId="77777777" w:rsidR="00D26D23" w:rsidRDefault="00D26D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C777" w14:textId="76A660A2" w:rsidR="009A1FC9" w:rsidRPr="00DC29EB" w:rsidRDefault="009A1FC9" w:rsidP="00CA7622">
    <w:pPr>
      <w:pStyle w:val="Piedepgina"/>
      <w:pBdr>
        <w:top w:val="thinThickSmallGap" w:sz="24" w:space="1" w:color="622423"/>
      </w:pBdr>
      <w:jc w:val="center"/>
      <w:rPr>
        <w:rFonts w:ascii="Arial" w:hAnsi="Arial" w:cs="Arial"/>
        <w:b/>
        <w:bCs/>
        <w:i/>
        <w:iCs/>
        <w:lang w:val="es-CO"/>
      </w:rPr>
    </w:pPr>
    <w:r w:rsidRPr="00DC29EB">
      <w:rPr>
        <w:rFonts w:ascii="Arial" w:hAnsi="Arial" w:cs="Arial"/>
        <w:b/>
        <w:bCs/>
        <w:i/>
        <w:iCs/>
        <w:lang w:val="es-CO"/>
      </w:rPr>
      <w:t xml:space="preserve">El Tolima </w:t>
    </w:r>
    <w:r>
      <w:rPr>
        <w:rFonts w:ascii="Arial" w:hAnsi="Arial" w:cs="Arial"/>
        <w:b/>
        <w:bCs/>
        <w:i/>
        <w:iCs/>
        <w:lang w:val="es-CO"/>
      </w:rPr>
      <w:t>n</w:t>
    </w:r>
    <w:r w:rsidRPr="00DC29EB">
      <w:rPr>
        <w:rFonts w:ascii="Arial" w:hAnsi="Arial" w:cs="Arial"/>
        <w:b/>
        <w:bCs/>
        <w:i/>
        <w:iCs/>
        <w:lang w:val="es-CO"/>
      </w:rPr>
      <w:t xml:space="preserve">os Une </w:t>
    </w:r>
  </w:p>
  <w:p w14:paraId="7682A216" w14:textId="5E3E21F0" w:rsidR="009A1FC9" w:rsidRPr="00B17314" w:rsidRDefault="009A1FC9" w:rsidP="00CA7622">
    <w:pPr>
      <w:pStyle w:val="Piedepgina"/>
      <w:pBdr>
        <w:top w:val="thinThickSmallGap" w:sz="24" w:space="1" w:color="622423"/>
      </w:pBdr>
      <w:jc w:val="center"/>
      <w:rPr>
        <w:rFonts w:ascii="Arial" w:hAnsi="Arial" w:cs="Arial"/>
        <w:sz w:val="18"/>
        <w:szCs w:val="18"/>
        <w:lang w:val="es-ES"/>
      </w:rPr>
    </w:pPr>
    <w:r w:rsidRPr="00B17314">
      <w:rPr>
        <w:rFonts w:ascii="Arial" w:hAnsi="Arial" w:cs="Arial"/>
        <w:sz w:val="18"/>
        <w:szCs w:val="18"/>
        <w:lang w:val="es-CO"/>
      </w:rPr>
      <w:t>Calle 11 No.3-32 – Edificio Banco de la Rep</w:t>
    </w:r>
    <w:r>
      <w:rPr>
        <w:rFonts w:ascii="Arial" w:hAnsi="Arial" w:cs="Arial"/>
        <w:sz w:val="18"/>
        <w:szCs w:val="18"/>
        <w:lang w:val="es-CO"/>
      </w:rPr>
      <w:t>ú</w:t>
    </w:r>
    <w:r w:rsidRPr="00B17314">
      <w:rPr>
        <w:rFonts w:ascii="Arial" w:hAnsi="Arial" w:cs="Arial"/>
        <w:sz w:val="18"/>
        <w:szCs w:val="18"/>
        <w:lang w:val="es-CO"/>
      </w:rPr>
      <w:t xml:space="preserve">blica Piso 8. </w:t>
    </w:r>
  </w:p>
  <w:p w14:paraId="0C911D22" w14:textId="75898E4C" w:rsidR="009A1FC9" w:rsidRPr="00B17314" w:rsidRDefault="009A1FC9" w:rsidP="00CA7622">
    <w:pPr>
      <w:pStyle w:val="Piedepgina"/>
      <w:pBdr>
        <w:top w:val="thinThickSmallGap" w:sz="24" w:space="1" w:color="622423"/>
      </w:pBdr>
      <w:jc w:val="center"/>
      <w:rPr>
        <w:rFonts w:ascii="Arial" w:hAnsi="Arial" w:cs="Arial"/>
        <w:sz w:val="18"/>
        <w:szCs w:val="18"/>
        <w:lang w:val="es-CO"/>
      </w:rPr>
    </w:pPr>
    <w:r w:rsidRPr="00B17314">
      <w:rPr>
        <w:rFonts w:ascii="Arial" w:hAnsi="Arial" w:cs="Arial"/>
        <w:sz w:val="18"/>
        <w:szCs w:val="18"/>
        <w:lang w:val="es-CO"/>
      </w:rPr>
      <w:t>Teléfono: (578) 261 66 43</w:t>
    </w:r>
  </w:p>
  <w:p w14:paraId="36174DA3" w14:textId="77777777" w:rsidR="009A1FC9" w:rsidRPr="00B17314" w:rsidRDefault="009A1FC9" w:rsidP="00CA7622">
    <w:pPr>
      <w:pStyle w:val="Piedepgina"/>
      <w:pBdr>
        <w:top w:val="thinThickSmallGap" w:sz="24" w:space="1" w:color="622423"/>
      </w:pBdr>
      <w:jc w:val="center"/>
      <w:rPr>
        <w:rFonts w:ascii="Arial" w:hAnsi="Arial" w:cs="Arial"/>
        <w:sz w:val="18"/>
        <w:szCs w:val="18"/>
        <w:lang w:val="es-CO"/>
      </w:rPr>
    </w:pPr>
    <w:r w:rsidRPr="00B17314">
      <w:rPr>
        <w:rFonts w:ascii="Arial" w:hAnsi="Arial" w:cs="Arial"/>
        <w:sz w:val="18"/>
        <w:szCs w:val="18"/>
        <w:lang w:val="es-CO"/>
      </w:rPr>
      <w:t xml:space="preserve">E-mail: </w:t>
    </w:r>
    <w:hyperlink r:id="rId1" w:history="1">
      <w:r w:rsidRPr="00B17314">
        <w:rPr>
          <w:rStyle w:val="Hipervnculo"/>
          <w:rFonts w:ascii="Arial" w:hAnsi="Arial" w:cs="Arial"/>
          <w:sz w:val="18"/>
          <w:szCs w:val="18"/>
          <w:lang w:val="es-CO"/>
        </w:rPr>
        <w:t>gerencia@edat.gov.co</w:t>
      </w:r>
    </w:hyperlink>
    <w:r w:rsidRPr="00B17314">
      <w:rPr>
        <w:rFonts w:ascii="Arial" w:hAnsi="Arial" w:cs="Arial"/>
        <w:sz w:val="18"/>
        <w:szCs w:val="18"/>
        <w:lang w:val="es-CO"/>
      </w:rPr>
      <w:t xml:space="preserve">  web: </w:t>
    </w:r>
    <w:hyperlink r:id="rId2" w:history="1">
      <w:r w:rsidRPr="00B17314">
        <w:rPr>
          <w:rStyle w:val="Hipervnculo"/>
          <w:rFonts w:ascii="Arial" w:hAnsi="Arial" w:cs="Arial"/>
          <w:sz w:val="18"/>
          <w:szCs w:val="18"/>
          <w:lang w:val="es-CO"/>
        </w:rPr>
        <w:t>www.edat.gov.co</w:t>
      </w:r>
    </w:hyperlink>
  </w:p>
  <w:p w14:paraId="370A271B" w14:textId="328D65DD" w:rsidR="009A1FC9" w:rsidRPr="00B17314" w:rsidRDefault="009A1FC9" w:rsidP="00CA7622">
    <w:pPr>
      <w:pStyle w:val="Piedepgina"/>
      <w:pBdr>
        <w:top w:val="thinThickSmallGap" w:sz="24" w:space="1" w:color="622423"/>
      </w:pBdr>
      <w:jc w:val="center"/>
      <w:rPr>
        <w:rFonts w:ascii="Cambria" w:eastAsia="Calibri" w:hAnsi="Cambria"/>
        <w:snapToGrid/>
        <w:sz w:val="18"/>
        <w:szCs w:val="18"/>
        <w:lang w:val="es-CO"/>
      </w:rPr>
    </w:pPr>
    <w:proofErr w:type="spellStart"/>
    <w:r w:rsidRPr="00B17314">
      <w:rPr>
        <w:rFonts w:ascii="Arial" w:hAnsi="Arial" w:cs="Arial"/>
        <w:sz w:val="18"/>
        <w:szCs w:val="18"/>
      </w:rPr>
      <w:t>Ibagué</w:t>
    </w:r>
    <w:proofErr w:type="spellEnd"/>
    <w:r w:rsidRPr="00B17314">
      <w:rPr>
        <w:rFonts w:ascii="Arial" w:hAnsi="Arial" w:cs="Arial"/>
        <w:sz w:val="18"/>
        <w:szCs w:val="18"/>
      </w:rPr>
      <w:t xml:space="preserve"> – Colombia </w:t>
    </w:r>
  </w:p>
  <w:p w14:paraId="1B8AF5D3" w14:textId="1254F79B" w:rsidR="009A1FC9" w:rsidRPr="00B17314" w:rsidRDefault="009A1FC9" w:rsidP="00B17314">
    <w:pPr>
      <w:pStyle w:val="Piedepgina"/>
      <w:pBdr>
        <w:top w:val="thinThickSmallGap" w:sz="24" w:space="1" w:color="622423"/>
      </w:pBdr>
      <w:jc w:val="right"/>
      <w:rPr>
        <w:rFonts w:ascii="Arial" w:hAnsi="Arial" w:cs="Arial"/>
        <w:sz w:val="12"/>
        <w:szCs w:val="12"/>
        <w:lang w:val="es-CO"/>
      </w:rPr>
    </w:pPr>
    <w:r>
      <w:rPr>
        <w:rFonts w:ascii="Arial" w:hAnsi="Arial" w:cs="Arial"/>
      </w:rPr>
      <w:t xml:space="preserve"> </w:t>
    </w:r>
    <w:r w:rsidRPr="00DC29EB">
      <w:rPr>
        <w:rFonts w:ascii="Arial" w:hAnsi="Arial" w:cs="Arial"/>
        <w:sz w:val="12"/>
        <w:szCs w:val="12"/>
        <w:lang w:val="es-CO"/>
      </w:rPr>
      <w:t xml:space="preserve">Página </w:t>
    </w:r>
    <w:r w:rsidRPr="00DC29EB">
      <w:rPr>
        <w:rFonts w:ascii="Arial" w:hAnsi="Arial" w:cs="Arial"/>
        <w:b/>
        <w:bCs/>
        <w:sz w:val="12"/>
        <w:szCs w:val="12"/>
        <w:lang w:val="es-CO"/>
      </w:rPr>
      <w:fldChar w:fldCharType="begin"/>
    </w:r>
    <w:r w:rsidRPr="00DC29EB">
      <w:rPr>
        <w:rFonts w:ascii="Arial" w:hAnsi="Arial" w:cs="Arial"/>
        <w:b/>
        <w:bCs/>
        <w:sz w:val="12"/>
        <w:szCs w:val="12"/>
        <w:lang w:val="es-CO"/>
      </w:rPr>
      <w:instrText>PAGE</w:instrText>
    </w:r>
    <w:r w:rsidRPr="00DC29EB">
      <w:rPr>
        <w:rFonts w:ascii="Arial" w:hAnsi="Arial" w:cs="Arial"/>
        <w:b/>
        <w:bCs/>
        <w:sz w:val="12"/>
        <w:szCs w:val="12"/>
        <w:lang w:val="es-CO"/>
      </w:rPr>
      <w:fldChar w:fldCharType="separate"/>
    </w:r>
    <w:r w:rsidR="003067D4">
      <w:rPr>
        <w:rFonts w:ascii="Arial" w:hAnsi="Arial" w:cs="Arial"/>
        <w:b/>
        <w:bCs/>
        <w:noProof/>
        <w:sz w:val="12"/>
        <w:szCs w:val="12"/>
        <w:lang w:val="es-CO"/>
      </w:rPr>
      <w:t>10</w:t>
    </w:r>
    <w:r w:rsidRPr="00DC29EB">
      <w:rPr>
        <w:rFonts w:ascii="Arial" w:hAnsi="Arial" w:cs="Arial"/>
        <w:b/>
        <w:bCs/>
        <w:sz w:val="12"/>
        <w:szCs w:val="12"/>
        <w:lang w:val="es-CO"/>
      </w:rPr>
      <w:fldChar w:fldCharType="end"/>
    </w:r>
    <w:r w:rsidRPr="00DC29EB">
      <w:rPr>
        <w:rFonts w:ascii="Arial" w:hAnsi="Arial" w:cs="Arial"/>
        <w:sz w:val="12"/>
        <w:szCs w:val="12"/>
        <w:lang w:val="es-CO"/>
      </w:rPr>
      <w:t xml:space="preserve"> de </w:t>
    </w:r>
    <w:r w:rsidR="00134C64">
      <w:rPr>
        <w:rFonts w:ascii="Arial" w:hAnsi="Arial" w:cs="Arial"/>
        <w:b/>
        <w:bCs/>
        <w:sz w:val="12"/>
        <w:szCs w:val="12"/>
        <w:lang w:val="es-CO"/>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4800" w14:textId="77777777" w:rsidR="00D26D23" w:rsidRDefault="00D26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B5348" w14:textId="77777777" w:rsidR="00F76BD6" w:rsidRDefault="00F76BD6" w:rsidP="002A00FA">
      <w:r>
        <w:separator/>
      </w:r>
    </w:p>
  </w:footnote>
  <w:footnote w:type="continuationSeparator" w:id="0">
    <w:p w14:paraId="0606F73F" w14:textId="77777777" w:rsidR="00F76BD6" w:rsidRDefault="00F76BD6" w:rsidP="002A00FA">
      <w:r>
        <w:continuationSeparator/>
      </w:r>
    </w:p>
  </w:footnote>
  <w:footnote w:id="1">
    <w:p w14:paraId="3526B62E" w14:textId="3AFBC077" w:rsidR="009A1FC9" w:rsidRPr="005F2FB3" w:rsidRDefault="009A1FC9" w:rsidP="00B34950">
      <w:pPr>
        <w:pStyle w:val="Textonotapie"/>
        <w:jc w:val="both"/>
        <w:rPr>
          <w:rFonts w:ascii="Arial" w:hAnsi="Arial" w:cs="Arial"/>
          <w:sz w:val="16"/>
          <w:szCs w:val="16"/>
          <w:lang w:val="es-ES"/>
        </w:rPr>
      </w:pPr>
      <w:r w:rsidRPr="005F2FB3">
        <w:rPr>
          <w:rStyle w:val="Refdenotaalpie"/>
          <w:rFonts w:ascii="Arial" w:hAnsi="Arial" w:cs="Arial"/>
          <w:sz w:val="16"/>
          <w:szCs w:val="16"/>
        </w:rPr>
        <w:footnoteRef/>
      </w:r>
      <w:r w:rsidRPr="005F2FB3">
        <w:rPr>
          <w:rFonts w:ascii="Arial" w:hAnsi="Arial" w:cs="Arial"/>
          <w:sz w:val="16"/>
          <w:szCs w:val="16"/>
        </w:rPr>
        <w:t xml:space="preserve"> DECRETO 1082 DE 2015. </w:t>
      </w:r>
      <w:r w:rsidRPr="00B17314">
        <w:rPr>
          <w:rFonts w:ascii="Arial" w:hAnsi="Arial" w:cs="Arial"/>
          <w:sz w:val="16"/>
          <w:szCs w:val="16"/>
          <w:lang w:val="es-ES"/>
        </w:rPr>
        <w:t>Artículo 2.2.1.1.2.1.1. Estudios y documentos previos.</w:t>
      </w:r>
      <w:r w:rsidRPr="005F2FB3">
        <w:rPr>
          <w:rFonts w:ascii="Arial" w:hAnsi="Arial" w:cs="Arial"/>
          <w:sz w:val="16"/>
          <w:szCs w:val="16"/>
          <w:lang w:val="es-ES"/>
        </w:rPr>
        <w:t xml:space="preserve"> Los estudios y documentas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1.</w:t>
      </w:r>
      <w:r>
        <w:rPr>
          <w:rFonts w:ascii="Arial" w:hAnsi="Arial" w:cs="Arial"/>
          <w:sz w:val="16"/>
          <w:szCs w:val="16"/>
          <w:lang w:val="es-ES"/>
        </w:rPr>
        <w:t xml:space="preserve"> </w:t>
      </w:r>
      <w:r w:rsidRPr="005F2FB3">
        <w:rPr>
          <w:rFonts w:ascii="Arial" w:hAnsi="Arial" w:cs="Arial"/>
          <w:sz w:val="16"/>
          <w:szCs w:val="16"/>
          <w:lang w:val="es-ES"/>
        </w:rPr>
        <w:t>La descripción de la necesidad que la Entidad Estatal pretende satisfacer con el Proceso de Contratación. 2.</w:t>
      </w:r>
      <w:r>
        <w:rPr>
          <w:rFonts w:ascii="Arial" w:hAnsi="Arial" w:cs="Arial"/>
          <w:sz w:val="16"/>
          <w:szCs w:val="16"/>
          <w:lang w:val="es-ES"/>
        </w:rPr>
        <w:t xml:space="preserve"> </w:t>
      </w:r>
      <w:r w:rsidRPr="005F2FB3">
        <w:rPr>
          <w:rFonts w:ascii="Arial" w:hAnsi="Arial" w:cs="Arial"/>
          <w:sz w:val="16"/>
          <w:szCs w:val="16"/>
          <w:lang w:val="es-ES"/>
        </w:rPr>
        <w:t>El objeto a contratar, con sus especificaciones, las autorizaciones, permisos y licencias requeridos para su ejecución, y cuando el contrato incluye diseño y construcción, los documentos técnicos para el desarrollo del proyecto. 3.</w:t>
      </w:r>
      <w:r>
        <w:rPr>
          <w:rFonts w:ascii="Arial" w:hAnsi="Arial" w:cs="Arial"/>
          <w:sz w:val="16"/>
          <w:szCs w:val="16"/>
          <w:lang w:val="es-ES"/>
        </w:rPr>
        <w:t xml:space="preserve"> </w:t>
      </w:r>
      <w:r w:rsidRPr="005F2FB3">
        <w:rPr>
          <w:rFonts w:ascii="Arial" w:hAnsi="Arial" w:cs="Arial"/>
          <w:sz w:val="16"/>
          <w:szCs w:val="16"/>
          <w:lang w:val="es-ES"/>
        </w:rPr>
        <w:t>La modalidad de selección del contratista y su justificación, incluyendo los fundamentos jurídicos. 4.</w:t>
      </w:r>
      <w:r>
        <w:rPr>
          <w:rFonts w:ascii="Arial" w:hAnsi="Arial" w:cs="Arial"/>
          <w:sz w:val="16"/>
          <w:szCs w:val="16"/>
          <w:lang w:val="es-ES"/>
        </w:rPr>
        <w:t xml:space="preserve"> </w:t>
      </w:r>
      <w:r w:rsidRPr="005F2FB3">
        <w:rPr>
          <w:rFonts w:ascii="Arial" w:hAnsi="Arial" w:cs="Arial"/>
          <w:sz w:val="16"/>
          <w:szCs w:val="16"/>
          <w:lang w:val="es-ES"/>
        </w:rPr>
        <w:t>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5. Los criterios para seleccionar la oferta más favorable. 6. El análisis de Riesgo y la forma de mitigarlo. 7. Las garantías que la Entidad Estatal contempla exigir en el Proceso de Contratación. 8. La indicación de si el Proceso de Contratación está cobijado por un Acuerdo Comercial. El presente artículo no es aplicable a la contratación por mínima cuantía.</w:t>
      </w:r>
    </w:p>
    <w:p w14:paraId="2927D12A" w14:textId="77777777" w:rsidR="009A1FC9" w:rsidRPr="005F2FB3" w:rsidRDefault="009A1FC9" w:rsidP="00B34950">
      <w:pPr>
        <w:pStyle w:val="Textonotapie"/>
        <w:jc w:val="both"/>
        <w:rPr>
          <w:rFonts w:ascii="Arial" w:hAnsi="Arial" w:cs="Arial"/>
          <w:sz w:val="16"/>
          <w:szCs w:val="16"/>
          <w:lang w:val="es-ES"/>
        </w:rPr>
      </w:pPr>
    </w:p>
  </w:footnote>
  <w:footnote w:id="2">
    <w:p w14:paraId="597A4470" w14:textId="77777777" w:rsidR="009A1FC9" w:rsidRPr="00ED7551" w:rsidRDefault="009A1FC9" w:rsidP="00B34950">
      <w:pPr>
        <w:jc w:val="both"/>
        <w:rPr>
          <w:rFonts w:ascii="Arial" w:hAnsi="Arial" w:cs="Arial"/>
          <w:sz w:val="16"/>
          <w:szCs w:val="16"/>
        </w:rPr>
      </w:pPr>
      <w:r w:rsidRPr="00ED7551">
        <w:rPr>
          <w:rStyle w:val="Refdenotaalpie"/>
          <w:rFonts w:ascii="Arial" w:hAnsi="Arial" w:cs="Arial"/>
          <w:sz w:val="16"/>
          <w:szCs w:val="16"/>
        </w:rPr>
        <w:footnoteRef/>
      </w:r>
      <w:r w:rsidRPr="00ED7551">
        <w:rPr>
          <w:rFonts w:ascii="Arial" w:hAnsi="Arial" w:cs="Arial"/>
          <w:sz w:val="16"/>
          <w:szCs w:val="16"/>
        </w:rPr>
        <w:t xml:space="preserve"> Sentencia. Radicado. IJ-0039 del Consejo de Estado. C.P. Nicolás Pájaro Peñaranda. 18 de noviembre de 2003.</w:t>
      </w:r>
    </w:p>
  </w:footnote>
  <w:footnote w:id="3">
    <w:p w14:paraId="6858F133" w14:textId="02AD8DF1" w:rsidR="009A1FC9" w:rsidRPr="005F2FB3" w:rsidRDefault="009A1FC9" w:rsidP="00B34950">
      <w:pPr>
        <w:pStyle w:val="NormalWeb"/>
        <w:jc w:val="both"/>
        <w:rPr>
          <w:rFonts w:ascii="Arial" w:hAnsi="Arial" w:cs="Arial"/>
          <w:sz w:val="16"/>
          <w:szCs w:val="16"/>
        </w:rPr>
      </w:pPr>
      <w:r w:rsidRPr="005F2FB3">
        <w:rPr>
          <w:rStyle w:val="Refdenotaalpie"/>
          <w:rFonts w:ascii="Arial" w:hAnsi="Arial" w:cs="Arial"/>
          <w:sz w:val="16"/>
          <w:szCs w:val="16"/>
        </w:rPr>
        <w:footnoteRef/>
      </w:r>
      <w:r w:rsidRPr="005F2FB3">
        <w:rPr>
          <w:rFonts w:ascii="Arial" w:hAnsi="Arial" w:cs="Arial"/>
          <w:sz w:val="16"/>
          <w:szCs w:val="16"/>
        </w:rPr>
        <w:t xml:space="preserve"> LEY 80 DE 1993. NUMERAL 3 - ARTÍCULO 32. </w:t>
      </w:r>
      <w:r w:rsidRPr="005F2FB3">
        <w:rPr>
          <w:rFonts w:ascii="Arial" w:hAnsi="Arial" w:cs="Arial"/>
          <w:i/>
          <w:iCs/>
          <w:color w:val="000000"/>
          <w:sz w:val="16"/>
          <w:szCs w:val="16"/>
          <w:shd w:val="clear" w:color="auto" w:fill="FFFFFF"/>
        </w:rPr>
        <w:t>De los Contratos Estatales</w:t>
      </w:r>
      <w:r w:rsidRPr="005F2FB3">
        <w:rPr>
          <w:rFonts w:ascii="Arial" w:hAnsi="Arial" w:cs="Arial"/>
          <w:color w:val="000000"/>
          <w:sz w:val="16"/>
          <w:szCs w:val="16"/>
          <w:shd w:val="clear" w:color="auto" w:fill="FFFFFF"/>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w:t>
      </w:r>
      <w:r w:rsidRPr="005F2FB3">
        <w:rPr>
          <w:rFonts w:ascii="Arial" w:hAnsi="Arial" w:cs="Arial"/>
          <w:b/>
          <w:bCs/>
          <w:color w:val="000000"/>
          <w:sz w:val="16"/>
          <w:szCs w:val="16"/>
          <w:shd w:val="clear" w:color="auto" w:fill="FFFFFF"/>
        </w:rPr>
        <w:t>3o. </w:t>
      </w:r>
      <w:bookmarkStart w:id="4" w:name="32.3"/>
      <w:r w:rsidRPr="005F2FB3">
        <w:rPr>
          <w:rFonts w:ascii="Arial" w:hAnsi="Arial" w:cs="Arial"/>
          <w:b/>
          <w:bCs/>
          <w:color w:val="000000"/>
          <w:sz w:val="16"/>
          <w:szCs w:val="16"/>
          <w:shd w:val="clear" w:color="auto" w:fill="FFFFFF"/>
        </w:rPr>
        <w:t> </w:t>
      </w:r>
      <w:bookmarkEnd w:id="4"/>
      <w:r w:rsidRPr="005F2FB3">
        <w:rPr>
          <w:rFonts w:ascii="Arial" w:hAnsi="Arial" w:cs="Arial"/>
          <w:b/>
          <w:bCs/>
          <w:color w:val="000000"/>
          <w:sz w:val="16"/>
          <w:szCs w:val="16"/>
          <w:shd w:val="clear" w:color="auto" w:fill="FFFFFF"/>
        </w:rPr>
        <w:t xml:space="preserve">Contrato de prestación de servicios. </w:t>
      </w:r>
      <w:r w:rsidRPr="005F2FB3">
        <w:rPr>
          <w:rFonts w:ascii="Arial" w:hAnsi="Arial" w:cs="Arial"/>
          <w:color w:val="000000"/>
          <w:sz w:val="16"/>
          <w:szCs w:val="16"/>
          <w:shd w:val="clear" w:color="auto" w:fill="FFFFFF"/>
        </w:rPr>
        <w:t>Son contratos de prestación de servicios los que celebren las entidades estatales para desarrollar actividades relacionadas con la administración o funcionamiento de la entidad. Estos contratos sólo podrán celebrarse con personas naturales cuando dichas actividades</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u w:val="single"/>
          <w:shd w:val="clear" w:color="auto" w:fill="FFFFFF"/>
        </w:rPr>
        <w:t>no puedan realizarse con</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u w:val="single"/>
          <w:shd w:val="clear" w:color="auto" w:fill="FFFFFF"/>
        </w:rPr>
        <w:t>personal de planta</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shd w:val="clear" w:color="auto" w:fill="FFFFFF"/>
        </w:rPr>
        <w:t xml:space="preserve">o requieran conocimientos especializados. </w:t>
      </w:r>
      <w:r w:rsidRPr="005F2FB3">
        <w:rPr>
          <w:rFonts w:ascii="Arial" w:hAnsi="Arial" w:cs="Arial"/>
          <w:color w:val="000000"/>
          <w:sz w:val="16"/>
          <w:szCs w:val="16"/>
          <w:u w:val="single"/>
          <w:shd w:val="clear" w:color="auto" w:fill="FFFFFF"/>
        </w:rPr>
        <w:t>En ningún caso</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shd w:val="clear" w:color="auto" w:fill="FFFFFF"/>
        </w:rPr>
        <w:t>estos contratos</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u w:val="single"/>
          <w:shd w:val="clear" w:color="auto" w:fill="FFFFFF"/>
        </w:rPr>
        <w:t>generan relación laboral ni prestaciones sociales</w:t>
      </w:r>
      <w:r w:rsidRPr="005F2FB3">
        <w:rPr>
          <w:rStyle w:val="apple-converted-space"/>
          <w:rFonts w:ascii="Arial" w:hAnsi="Arial" w:cs="Arial"/>
          <w:color w:val="000000"/>
          <w:sz w:val="16"/>
          <w:szCs w:val="16"/>
          <w:shd w:val="clear" w:color="auto" w:fill="FFFFFF"/>
        </w:rPr>
        <w:t> </w:t>
      </w:r>
      <w:r w:rsidRPr="005F2FB3">
        <w:rPr>
          <w:rFonts w:ascii="Arial" w:hAnsi="Arial" w:cs="Arial"/>
          <w:color w:val="000000"/>
          <w:sz w:val="16"/>
          <w:szCs w:val="16"/>
          <w:shd w:val="clear" w:color="auto" w:fill="FFFFFF"/>
        </w:rPr>
        <w:t xml:space="preserve">y se celebrarán por el término estrictamente indispensable. </w:t>
      </w:r>
      <w:r w:rsidRPr="005F2FB3">
        <w:rPr>
          <w:rFonts w:ascii="Arial" w:hAnsi="Arial" w:cs="Arial"/>
          <w:color w:val="000000"/>
          <w:sz w:val="16"/>
          <w:szCs w:val="16"/>
        </w:rPr>
        <w:t>NOTA: Las</w:t>
      </w:r>
      <w:r w:rsidRPr="005F2FB3">
        <w:rPr>
          <w:rFonts w:ascii="Arial" w:hAnsi="Arial" w:cs="Arial"/>
          <w:b/>
          <w:bCs/>
          <w:color w:val="000000"/>
          <w:sz w:val="16"/>
          <w:szCs w:val="16"/>
        </w:rPr>
        <w:t xml:space="preserve"> e</w:t>
      </w:r>
      <w:r w:rsidRPr="005F2FB3">
        <w:rPr>
          <w:rStyle w:val="Textoennegrita"/>
          <w:rFonts w:ascii="Arial" w:hAnsi="Arial" w:cs="Arial"/>
          <w:b w:val="0"/>
          <w:bCs w:val="0"/>
          <w:color w:val="000000"/>
          <w:sz w:val="16"/>
          <w:szCs w:val="16"/>
        </w:rPr>
        <w:t>xpresiones subrayadas fueron declaradas EXEQUIBLES por la Corte Constitucional mediante Sentencia</w:t>
      </w:r>
      <w:r w:rsidRPr="005F2FB3">
        <w:rPr>
          <w:rStyle w:val="apple-converted-space"/>
          <w:rFonts w:ascii="Arial" w:hAnsi="Arial" w:cs="Arial"/>
          <w:b/>
          <w:bCs/>
          <w:color w:val="000000"/>
          <w:sz w:val="16"/>
          <w:szCs w:val="16"/>
        </w:rPr>
        <w:t> </w:t>
      </w:r>
      <w:hyperlink r:id="rId1" w:anchor="0" w:history="1">
        <w:r w:rsidRPr="005F2FB3">
          <w:rPr>
            <w:rStyle w:val="Hipervnculo"/>
            <w:rFonts w:ascii="Arial" w:hAnsi="Arial" w:cs="Arial"/>
            <w:b/>
            <w:bCs/>
            <w:sz w:val="16"/>
            <w:szCs w:val="16"/>
          </w:rPr>
          <w:t>C-154</w:t>
        </w:r>
      </w:hyperlink>
      <w:r w:rsidRPr="005F2FB3">
        <w:rPr>
          <w:rStyle w:val="apple-converted-space"/>
          <w:rFonts w:ascii="Arial" w:hAnsi="Arial" w:cs="Arial"/>
          <w:b/>
          <w:bCs/>
          <w:color w:val="000000"/>
          <w:sz w:val="16"/>
          <w:szCs w:val="16"/>
        </w:rPr>
        <w:t> </w:t>
      </w:r>
      <w:r w:rsidRPr="005F2FB3">
        <w:rPr>
          <w:rStyle w:val="Textoennegrita"/>
          <w:rFonts w:ascii="Arial" w:hAnsi="Arial" w:cs="Arial"/>
          <w:b w:val="0"/>
          <w:bCs w:val="0"/>
          <w:color w:val="000000"/>
          <w:sz w:val="16"/>
          <w:szCs w:val="16"/>
        </w:rPr>
        <w:t>de 1997</w:t>
      </w:r>
      <w:r w:rsidRPr="005F2FB3">
        <w:rPr>
          <w:rStyle w:val="Textoennegrita"/>
          <w:rFonts w:ascii="Arial" w:hAnsi="Arial" w:cs="Arial"/>
          <w:color w:val="000000"/>
          <w:sz w:val="16"/>
          <w:szCs w:val="16"/>
        </w:rPr>
        <w:t>,</w:t>
      </w:r>
      <w:r w:rsidRPr="005F2FB3">
        <w:rPr>
          <w:rStyle w:val="apple-converted-space"/>
          <w:rFonts w:ascii="Arial" w:hAnsi="Arial" w:cs="Arial"/>
          <w:color w:val="000000"/>
          <w:sz w:val="16"/>
          <w:szCs w:val="16"/>
        </w:rPr>
        <w:t> </w:t>
      </w:r>
      <w:r w:rsidRPr="005F2FB3">
        <w:rPr>
          <w:rFonts w:ascii="Arial" w:hAnsi="Arial" w:cs="Arial"/>
          <w:color w:val="000000"/>
          <w:sz w:val="16"/>
          <w:szCs w:val="16"/>
        </w:rPr>
        <w:t>salvo que se acredite la existencia de una relación laboral subordinada. NOTA: Ver la Ley</w:t>
      </w:r>
      <w:r w:rsidRPr="005F2FB3">
        <w:rPr>
          <w:rStyle w:val="apple-converted-space"/>
          <w:rFonts w:ascii="Arial" w:hAnsi="Arial" w:cs="Arial"/>
          <w:color w:val="000000"/>
          <w:sz w:val="16"/>
          <w:szCs w:val="16"/>
        </w:rPr>
        <w:t> </w:t>
      </w:r>
      <w:hyperlink r:id="rId2" w:anchor="0" w:history="1">
        <w:r w:rsidRPr="005F2FB3">
          <w:rPr>
            <w:rStyle w:val="Hipervnculo"/>
            <w:rFonts w:ascii="Arial" w:hAnsi="Arial" w:cs="Arial"/>
            <w:sz w:val="16"/>
            <w:szCs w:val="16"/>
          </w:rPr>
          <w:t>190</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1995;</w:t>
      </w:r>
      <w:r w:rsidRPr="005F2FB3">
        <w:rPr>
          <w:rStyle w:val="apple-converted-space"/>
          <w:rFonts w:ascii="Arial" w:hAnsi="Arial" w:cs="Arial"/>
          <w:color w:val="000000"/>
          <w:sz w:val="16"/>
          <w:szCs w:val="16"/>
        </w:rPr>
        <w:t> </w:t>
      </w:r>
      <w:r w:rsidRPr="005F2FB3">
        <w:rPr>
          <w:rFonts w:ascii="Arial" w:hAnsi="Arial" w:cs="Arial"/>
          <w:color w:val="000000"/>
          <w:sz w:val="16"/>
          <w:szCs w:val="16"/>
        </w:rPr>
        <w:t>Ver el Decreto Nacional</w:t>
      </w:r>
      <w:r w:rsidRPr="005F2FB3">
        <w:rPr>
          <w:rStyle w:val="apple-converted-space"/>
          <w:rFonts w:ascii="Arial" w:hAnsi="Arial" w:cs="Arial"/>
          <w:color w:val="000000"/>
          <w:sz w:val="16"/>
          <w:szCs w:val="16"/>
        </w:rPr>
        <w:t> </w:t>
      </w:r>
      <w:hyperlink r:id="rId3" w:anchor="0" w:history="1">
        <w:r w:rsidRPr="005F2FB3">
          <w:rPr>
            <w:rStyle w:val="Hipervnculo"/>
            <w:rFonts w:ascii="Arial" w:hAnsi="Arial" w:cs="Arial"/>
            <w:sz w:val="16"/>
            <w:szCs w:val="16"/>
          </w:rPr>
          <w:t>2681</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1993,</w:t>
      </w:r>
      <w:r w:rsidRPr="005F2FB3">
        <w:rPr>
          <w:rStyle w:val="apple-converted-space"/>
          <w:rFonts w:ascii="Arial" w:hAnsi="Arial" w:cs="Arial"/>
          <w:color w:val="000000"/>
          <w:sz w:val="16"/>
          <w:szCs w:val="16"/>
        </w:rPr>
        <w:t> </w:t>
      </w:r>
      <w:r w:rsidRPr="005F2FB3">
        <w:rPr>
          <w:rFonts w:ascii="Arial" w:hAnsi="Arial" w:cs="Arial"/>
          <w:color w:val="000000"/>
          <w:sz w:val="16"/>
          <w:szCs w:val="16"/>
        </w:rPr>
        <w:t>Ver el art. 141, Decreto Nacional</w:t>
      </w:r>
      <w:r w:rsidRPr="005F2FB3">
        <w:rPr>
          <w:rStyle w:val="apple-converted-space"/>
          <w:rFonts w:ascii="Arial" w:hAnsi="Arial" w:cs="Arial"/>
          <w:color w:val="000000"/>
          <w:sz w:val="16"/>
          <w:szCs w:val="16"/>
        </w:rPr>
        <w:t> </w:t>
      </w:r>
      <w:hyperlink r:id="rId4" w:anchor="0" w:history="1">
        <w:r w:rsidRPr="005F2FB3">
          <w:rPr>
            <w:rStyle w:val="Hipervnculo"/>
            <w:rFonts w:ascii="Arial" w:hAnsi="Arial" w:cs="Arial"/>
            <w:sz w:val="16"/>
            <w:szCs w:val="16"/>
          </w:rPr>
          <w:t>2150</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1995;</w:t>
      </w:r>
      <w:r w:rsidRPr="005F2FB3">
        <w:rPr>
          <w:rStyle w:val="apple-converted-space"/>
          <w:rFonts w:ascii="Arial" w:hAnsi="Arial" w:cs="Arial"/>
          <w:color w:val="000000"/>
          <w:sz w:val="16"/>
          <w:szCs w:val="16"/>
        </w:rPr>
        <w:t> </w:t>
      </w:r>
      <w:r w:rsidRPr="005F2FB3">
        <w:rPr>
          <w:rFonts w:ascii="Arial" w:hAnsi="Arial" w:cs="Arial"/>
          <w:color w:val="000000"/>
          <w:sz w:val="16"/>
          <w:szCs w:val="16"/>
        </w:rPr>
        <w:t>Ver el Concepto de la Sec. General</w:t>
      </w:r>
      <w:r w:rsidRPr="005F2FB3">
        <w:rPr>
          <w:rStyle w:val="apple-converted-space"/>
          <w:rFonts w:ascii="Arial" w:hAnsi="Arial" w:cs="Arial"/>
          <w:color w:val="000000"/>
          <w:sz w:val="16"/>
          <w:szCs w:val="16"/>
        </w:rPr>
        <w:t> </w:t>
      </w:r>
      <w:hyperlink r:id="rId5" w:anchor="0" w:history="1">
        <w:r w:rsidRPr="005F2FB3">
          <w:rPr>
            <w:rStyle w:val="Hipervnculo"/>
            <w:rFonts w:ascii="Arial" w:hAnsi="Arial" w:cs="Arial"/>
            <w:sz w:val="16"/>
            <w:szCs w:val="16"/>
          </w:rPr>
          <w:t>1045</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1995; Ver los Fallos del Consejo de Estado</w:t>
      </w:r>
      <w:r w:rsidRPr="005F2FB3">
        <w:rPr>
          <w:rStyle w:val="apple-converted-space"/>
          <w:rFonts w:ascii="Arial" w:hAnsi="Arial" w:cs="Arial"/>
          <w:color w:val="000000"/>
          <w:sz w:val="16"/>
          <w:szCs w:val="16"/>
        </w:rPr>
        <w:t> </w:t>
      </w:r>
      <w:hyperlink r:id="rId6" w:anchor="0" w:history="1">
        <w:r w:rsidRPr="005F2FB3">
          <w:rPr>
            <w:rStyle w:val="Hipervnculo"/>
            <w:rFonts w:ascii="Arial" w:hAnsi="Arial" w:cs="Arial"/>
            <w:sz w:val="16"/>
            <w:szCs w:val="16"/>
          </w:rPr>
          <w:t>IJ-0039</w:t>
        </w:r>
      </w:hyperlink>
      <w:r w:rsidRPr="005F2FB3">
        <w:rPr>
          <w:rStyle w:val="apple-converted-space"/>
          <w:rFonts w:ascii="Arial" w:hAnsi="Arial" w:cs="Arial"/>
          <w:color w:val="000000"/>
          <w:sz w:val="16"/>
          <w:szCs w:val="16"/>
        </w:rPr>
        <w:t> </w:t>
      </w:r>
      <w:r w:rsidRPr="005F2FB3">
        <w:rPr>
          <w:rFonts w:ascii="Arial" w:hAnsi="Arial" w:cs="Arial"/>
          <w:color w:val="000000"/>
          <w:sz w:val="16"/>
          <w:szCs w:val="16"/>
        </w:rPr>
        <w:t>de 2003 y</w:t>
      </w:r>
      <w:r w:rsidRPr="005F2FB3">
        <w:rPr>
          <w:rStyle w:val="apple-converted-space"/>
          <w:rFonts w:ascii="Arial" w:hAnsi="Arial" w:cs="Arial"/>
          <w:color w:val="000000"/>
          <w:sz w:val="16"/>
          <w:szCs w:val="16"/>
        </w:rPr>
        <w:t> </w:t>
      </w:r>
      <w:hyperlink r:id="rId7" w:anchor="0" w:history="1">
        <w:r w:rsidRPr="005F2FB3">
          <w:rPr>
            <w:rStyle w:val="Hipervnculo"/>
            <w:rFonts w:ascii="Arial" w:hAnsi="Arial" w:cs="Arial"/>
            <w:sz w:val="16"/>
            <w:szCs w:val="16"/>
          </w:rPr>
          <w:t>4096</w:t>
        </w:r>
      </w:hyperlink>
      <w:r w:rsidRPr="005F2FB3">
        <w:rPr>
          <w:rStyle w:val="Textoennegrita"/>
          <w:rFonts w:ascii="Arial" w:hAnsi="Arial" w:cs="Arial"/>
          <w:color w:val="000000"/>
          <w:sz w:val="16"/>
          <w:szCs w:val="16"/>
        </w:rPr>
        <w:t> </w:t>
      </w:r>
      <w:r w:rsidRPr="005F2FB3">
        <w:rPr>
          <w:rFonts w:ascii="Arial" w:hAnsi="Arial" w:cs="Arial"/>
          <w:color w:val="000000"/>
          <w:sz w:val="16"/>
          <w:szCs w:val="16"/>
        </w:rPr>
        <w:t>de 2006.</w:t>
      </w:r>
    </w:p>
  </w:footnote>
  <w:footnote w:id="4">
    <w:p w14:paraId="643F1898" w14:textId="4C5B1EC1" w:rsidR="009A1FC9" w:rsidRPr="005F2FB3" w:rsidRDefault="009A1FC9" w:rsidP="00B34950">
      <w:pPr>
        <w:pStyle w:val="Textonotapie"/>
        <w:jc w:val="both"/>
        <w:rPr>
          <w:rFonts w:ascii="Arial" w:hAnsi="Arial" w:cs="Arial"/>
          <w:color w:val="000000"/>
          <w:sz w:val="16"/>
          <w:szCs w:val="16"/>
          <w:shd w:val="clear" w:color="auto" w:fill="FFFFFF"/>
        </w:rPr>
      </w:pPr>
      <w:r w:rsidRPr="005F2FB3">
        <w:rPr>
          <w:rStyle w:val="Refdenotaalpie"/>
          <w:rFonts w:ascii="Arial" w:hAnsi="Arial" w:cs="Arial"/>
          <w:sz w:val="16"/>
          <w:szCs w:val="16"/>
        </w:rPr>
        <w:footnoteRef/>
      </w:r>
      <w:r w:rsidRPr="005F2FB3">
        <w:rPr>
          <w:rFonts w:ascii="Arial" w:hAnsi="Arial" w:cs="Arial"/>
          <w:sz w:val="16"/>
          <w:szCs w:val="16"/>
        </w:rPr>
        <w:t xml:space="preserve"> LEY 1150 DE 2007. ARTÍCULO 2 LITERAL H. </w:t>
      </w:r>
      <w:r w:rsidRPr="00B34950">
        <w:rPr>
          <w:rFonts w:ascii="Arial" w:hAnsi="Arial" w:cs="Arial"/>
          <w:color w:val="000000"/>
          <w:sz w:val="16"/>
          <w:szCs w:val="16"/>
          <w:shd w:val="clear" w:color="auto" w:fill="FFFFFF"/>
        </w:rPr>
        <w:t>Artículo 2°.</w:t>
      </w:r>
      <w:r w:rsidRPr="005F2FB3">
        <w:rPr>
          <w:rStyle w:val="apple-converted-space"/>
          <w:rFonts w:ascii="Arial" w:hAnsi="Arial" w:cs="Arial"/>
          <w:color w:val="000000"/>
          <w:sz w:val="16"/>
          <w:szCs w:val="16"/>
          <w:shd w:val="clear" w:color="auto" w:fill="FFFFFF"/>
        </w:rPr>
        <w:t> </w:t>
      </w:r>
      <w:r w:rsidRPr="005F2FB3">
        <w:rPr>
          <w:rFonts w:ascii="Arial" w:hAnsi="Arial" w:cs="Arial"/>
          <w:i/>
          <w:iCs/>
          <w:color w:val="000000"/>
          <w:sz w:val="16"/>
          <w:szCs w:val="16"/>
          <w:shd w:val="clear" w:color="auto" w:fill="FFFFFF"/>
        </w:rPr>
        <w:t>De las modalidades de selección.</w:t>
      </w:r>
      <w:r w:rsidRPr="005F2FB3">
        <w:rPr>
          <w:rStyle w:val="apple-converted-space"/>
          <w:rFonts w:ascii="Arial" w:hAnsi="Arial" w:cs="Arial"/>
          <w:i/>
          <w:iCs/>
          <w:color w:val="000000"/>
          <w:sz w:val="16"/>
          <w:szCs w:val="16"/>
          <w:shd w:val="clear" w:color="auto" w:fill="FFFFFF"/>
        </w:rPr>
        <w:t> </w:t>
      </w:r>
      <w:r w:rsidRPr="005F2FB3">
        <w:rPr>
          <w:rFonts w:ascii="Arial" w:hAnsi="Arial" w:cs="Arial"/>
          <w:color w:val="000000"/>
          <w:sz w:val="16"/>
          <w:szCs w:val="16"/>
          <w:shd w:val="clear" w:color="auto" w:fill="FFFFFF"/>
        </w:rPr>
        <w:t>La escogencia del contratista se efectuará con arreglo a las modalidades de selección de licitación pública, selección abreviada, concurso de méritos y contratación directa, con base en las siguientes reglas: (…)4. </w:t>
      </w:r>
      <w:bookmarkStart w:id="5" w:name="2.4"/>
      <w:r w:rsidRPr="005F2FB3">
        <w:rPr>
          <w:rFonts w:ascii="Arial" w:hAnsi="Arial" w:cs="Arial"/>
          <w:color w:val="000000"/>
          <w:sz w:val="16"/>
          <w:szCs w:val="16"/>
          <w:shd w:val="clear" w:color="auto" w:fill="FFFFFF"/>
        </w:rPr>
        <w:t> </w:t>
      </w:r>
      <w:bookmarkEnd w:id="5"/>
      <w:r w:rsidRPr="005F2FB3">
        <w:rPr>
          <w:rFonts w:ascii="Arial" w:hAnsi="Arial" w:cs="Arial"/>
          <w:color w:val="000000"/>
          <w:sz w:val="16"/>
          <w:szCs w:val="16"/>
          <w:shd w:val="clear" w:color="auto" w:fill="FFFFFF"/>
        </w:rPr>
        <w:t>Contratación directa.</w:t>
      </w:r>
      <w:r w:rsidRPr="005F2FB3">
        <w:rPr>
          <w:rFonts w:ascii="Arial" w:hAnsi="Arial" w:cs="Arial"/>
          <w:b/>
          <w:bCs/>
          <w:color w:val="000000"/>
          <w:sz w:val="16"/>
          <w:szCs w:val="16"/>
          <w:shd w:val="clear" w:color="auto" w:fill="FFFFFF"/>
        </w:rPr>
        <w:t> </w:t>
      </w:r>
      <w:r w:rsidRPr="005F2FB3">
        <w:rPr>
          <w:rFonts w:ascii="Arial" w:hAnsi="Arial" w:cs="Arial"/>
          <w:color w:val="000000"/>
          <w:sz w:val="16"/>
          <w:szCs w:val="16"/>
          <w:shd w:val="clear" w:color="auto" w:fill="FFFFFF"/>
        </w:rPr>
        <w:t>La modalidad de selección de contratación directa solamente procederá en los siguientes casos: (…) h) Para la prestación de servicios profesionales y de apoyo a la gestión, o para la ejecución de trabajos artísticos que sólo puedan encomendarse a determinadas personas naturales;(…)</w:t>
      </w:r>
    </w:p>
  </w:footnote>
  <w:footnote w:id="5">
    <w:p w14:paraId="639F5FA6" w14:textId="75628A93" w:rsidR="009A1FC9" w:rsidRPr="005F2FB3" w:rsidRDefault="009A1FC9" w:rsidP="00B34950">
      <w:pPr>
        <w:pStyle w:val="Textonotapie"/>
        <w:jc w:val="both"/>
        <w:rPr>
          <w:rFonts w:ascii="Arial" w:hAnsi="Arial" w:cs="Arial"/>
          <w:sz w:val="16"/>
          <w:szCs w:val="16"/>
          <w:lang w:val="es-CO"/>
        </w:rPr>
      </w:pPr>
      <w:r w:rsidRPr="005F2FB3">
        <w:rPr>
          <w:rStyle w:val="Refdenotaalpie"/>
          <w:rFonts w:ascii="Arial" w:hAnsi="Arial" w:cs="Arial"/>
          <w:sz w:val="16"/>
          <w:szCs w:val="16"/>
        </w:rPr>
        <w:footnoteRef/>
      </w:r>
      <w:r w:rsidRPr="005F2FB3">
        <w:rPr>
          <w:rFonts w:ascii="Arial" w:hAnsi="Arial" w:cs="Arial"/>
          <w:sz w:val="16"/>
          <w:szCs w:val="16"/>
        </w:rPr>
        <w:t xml:space="preserve">  DECRETO 1082 DE 2015. ARTÍCULO 2.2.1.2.1.4.9. </w:t>
      </w:r>
      <w:r w:rsidRPr="005F2FB3">
        <w:rPr>
          <w:rFonts w:ascii="Arial" w:hAnsi="Arial" w:cs="Arial"/>
          <w:iCs/>
          <w:sz w:val="16"/>
          <w:szCs w:val="16"/>
          <w:lang w:val="es-CO"/>
        </w:rPr>
        <w:t>Contratos de prestación de servicios profesionales y de apoyo a la gestión, o para la ejecución de trabajos artísticos que solo pueden encomendarse a determinadas personas naturales. </w:t>
      </w:r>
      <w:r w:rsidRPr="005F2FB3">
        <w:rPr>
          <w:rFonts w:ascii="Arial" w:hAnsi="Arial" w:cs="Arial"/>
          <w:sz w:val="16"/>
          <w:szCs w:val="16"/>
          <w:lang w:val="es-CO"/>
        </w:rPr>
        <w:t>Las entidades estatales pueden contratar bajo la modalidad de contrata</w:t>
      </w:r>
      <w:r w:rsidRPr="005F2FB3">
        <w:rPr>
          <w:rFonts w:ascii="Arial" w:hAnsi="Arial" w:cs="Arial"/>
          <w:sz w:val="16"/>
          <w:szCs w:val="16"/>
          <w:lang w:val="es-CO"/>
        </w:rPr>
        <w:softHyphen/>
        <w:t>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La entidad estatal, para la contratación de trabajos artísticos que solamente puedan en</w:t>
      </w:r>
      <w:r w:rsidRPr="005F2FB3">
        <w:rPr>
          <w:rFonts w:ascii="Arial" w:hAnsi="Arial" w:cs="Arial"/>
          <w:sz w:val="16"/>
          <w:szCs w:val="16"/>
          <w:lang w:val="es-CO"/>
        </w:rPr>
        <w:softHyphen/>
        <w:t>comendarse a determinadas personas naturales, debe justificar esta situación en los estudios y documentos previos.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5869" w14:textId="77777777" w:rsidR="00D26D23" w:rsidRDefault="00D26D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1" w:type="pct"/>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180"/>
      <w:gridCol w:w="5118"/>
      <w:gridCol w:w="1662"/>
    </w:tblGrid>
    <w:tr w:rsidR="007D3EE4" w:rsidRPr="007D3EE4" w14:paraId="61D5895F" w14:textId="77777777" w:rsidTr="00581380">
      <w:trPr>
        <w:cantSplit/>
        <w:trHeight w:val="68"/>
      </w:trPr>
      <w:tc>
        <w:tcPr>
          <w:tcW w:w="3180" w:type="dxa"/>
          <w:vMerge w:val="restart"/>
          <w:vAlign w:val="center"/>
        </w:tcPr>
        <w:p w14:paraId="57286979" w14:textId="77777777" w:rsidR="007D3EE4" w:rsidRPr="007D3EE4" w:rsidRDefault="007D3EE4" w:rsidP="007D3EE4">
          <w:pPr>
            <w:tabs>
              <w:tab w:val="center" w:pos="4419"/>
              <w:tab w:val="right" w:pos="8838"/>
            </w:tabs>
            <w:jc w:val="center"/>
            <w:rPr>
              <w:rFonts w:ascii="Arial" w:hAnsi="Arial" w:cs="Arial"/>
              <w:snapToGrid w:val="0"/>
              <w:color w:val="auto"/>
              <w:sz w:val="22"/>
              <w:szCs w:val="20"/>
              <w:lang w:val="es-CO" w:eastAsia="es-ES"/>
            </w:rPr>
          </w:pPr>
          <w:r w:rsidRPr="007D3EE4">
            <w:rPr>
              <w:rFonts w:ascii="Arial" w:hAnsi="Arial" w:cs="Arial"/>
              <w:noProof/>
              <w:snapToGrid w:val="0"/>
              <w:color w:val="auto"/>
              <w:sz w:val="20"/>
              <w:szCs w:val="20"/>
              <w:lang w:val="es-CO" w:eastAsia="es-CO"/>
            </w:rPr>
            <w:drawing>
              <wp:inline distT="0" distB="0" distL="0" distR="0" wp14:anchorId="50368F31" wp14:editId="21010F4A">
                <wp:extent cx="1704975" cy="1073150"/>
                <wp:effectExtent l="0" t="0" r="9525" b="0"/>
                <wp:docPr id="3330" name="Imagen 11" descr="logo final e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 name="Imagen 11" descr="logo final ed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73150"/>
                        </a:xfrm>
                        <a:prstGeom prst="rect">
                          <a:avLst/>
                        </a:prstGeom>
                        <a:noFill/>
                        <a:ln>
                          <a:noFill/>
                        </a:ln>
                        <a:extLst/>
                      </pic:spPr>
                    </pic:pic>
                  </a:graphicData>
                </a:graphic>
              </wp:inline>
            </w:drawing>
          </w:r>
        </w:p>
      </w:tc>
      <w:tc>
        <w:tcPr>
          <w:tcW w:w="5118" w:type="dxa"/>
          <w:vMerge w:val="restart"/>
          <w:vAlign w:val="center"/>
        </w:tcPr>
        <w:p w14:paraId="44633627" w14:textId="075AADFC"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EMPRESA</w:t>
          </w:r>
          <w:r w:rsidR="00581380" w:rsidRPr="003067D4">
            <w:rPr>
              <w:rFonts w:ascii="Arial" w:hAnsi="Arial" w:cs="Arial"/>
              <w:b/>
              <w:snapToGrid w:val="0"/>
              <w:color w:val="auto"/>
              <w:sz w:val="20"/>
              <w:szCs w:val="20"/>
              <w:lang w:val="es-CO" w:eastAsia="es-ES"/>
            </w:rPr>
            <w:t xml:space="preserve"> </w:t>
          </w:r>
          <w:r w:rsidR="00D26D23" w:rsidRPr="003067D4">
            <w:rPr>
              <w:rFonts w:ascii="Arial" w:hAnsi="Arial" w:cs="Arial"/>
              <w:b/>
              <w:sz w:val="20"/>
              <w:szCs w:val="20"/>
              <w:lang w:eastAsia="x-none"/>
            </w:rPr>
            <w:t>DEPARTAMENTAL</w:t>
          </w:r>
          <w:r w:rsidR="003C7596" w:rsidRPr="003067D4">
            <w:rPr>
              <w:rFonts w:ascii="Arial" w:hAnsi="Arial" w:cs="Arial"/>
              <w:b/>
              <w:snapToGrid w:val="0"/>
              <w:color w:val="auto"/>
              <w:sz w:val="20"/>
              <w:szCs w:val="20"/>
              <w:lang w:val="es-CO" w:eastAsia="es-ES"/>
            </w:rPr>
            <w:t xml:space="preserve"> DE ACUEDUCTO </w:t>
          </w:r>
          <w:r w:rsidRPr="003067D4">
            <w:rPr>
              <w:rFonts w:ascii="Arial" w:hAnsi="Arial" w:cs="Arial"/>
              <w:b/>
              <w:snapToGrid w:val="0"/>
              <w:color w:val="auto"/>
              <w:sz w:val="20"/>
              <w:szCs w:val="20"/>
              <w:lang w:val="es-CO" w:eastAsia="es-ES"/>
            </w:rPr>
            <w:t xml:space="preserve"> ALCANTARILLADO Y ASEO DEL T</w:t>
          </w:r>
          <w:r w:rsidR="00581380" w:rsidRPr="003067D4">
            <w:rPr>
              <w:rFonts w:ascii="Arial" w:hAnsi="Arial" w:cs="Arial"/>
              <w:b/>
              <w:snapToGrid w:val="0"/>
              <w:color w:val="auto"/>
              <w:sz w:val="20"/>
              <w:szCs w:val="20"/>
              <w:lang w:val="es-CO" w:eastAsia="es-ES"/>
            </w:rPr>
            <w:t>OLIMA  “EDAT S.A E.S.P. OFICIAL</w:t>
          </w:r>
        </w:p>
      </w:tc>
      <w:tc>
        <w:tcPr>
          <w:tcW w:w="1662" w:type="dxa"/>
          <w:vAlign w:val="center"/>
        </w:tcPr>
        <w:p w14:paraId="2D213EED"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 xml:space="preserve">Código: </w:t>
          </w:r>
        </w:p>
        <w:p w14:paraId="6F77CBE2" w14:textId="2D7237E9"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GCO-FOR-005</w:t>
          </w:r>
        </w:p>
      </w:tc>
    </w:tr>
    <w:tr w:rsidR="007D3EE4" w:rsidRPr="007D3EE4" w14:paraId="32F0A56E" w14:textId="77777777" w:rsidTr="00581380">
      <w:tblPrEx>
        <w:tblCellMar>
          <w:left w:w="108" w:type="dxa"/>
          <w:right w:w="108" w:type="dxa"/>
        </w:tblCellMar>
      </w:tblPrEx>
      <w:trPr>
        <w:cantSplit/>
        <w:trHeight w:val="389"/>
      </w:trPr>
      <w:tc>
        <w:tcPr>
          <w:tcW w:w="3180" w:type="dxa"/>
          <w:vMerge/>
          <w:vAlign w:val="center"/>
        </w:tcPr>
        <w:p w14:paraId="5803ED7B" w14:textId="77777777" w:rsidR="007D3EE4" w:rsidRPr="007D3EE4" w:rsidRDefault="007D3EE4" w:rsidP="007D3EE4">
          <w:pPr>
            <w:tabs>
              <w:tab w:val="center" w:pos="4419"/>
              <w:tab w:val="right" w:pos="8838"/>
            </w:tabs>
            <w:jc w:val="center"/>
            <w:rPr>
              <w:rFonts w:ascii="Arial" w:hAnsi="Arial" w:cs="Arial"/>
              <w:snapToGrid w:val="0"/>
              <w:color w:val="auto"/>
              <w:sz w:val="22"/>
              <w:szCs w:val="20"/>
              <w:lang w:val="es-CO" w:eastAsia="es-ES"/>
            </w:rPr>
          </w:pPr>
        </w:p>
      </w:tc>
      <w:tc>
        <w:tcPr>
          <w:tcW w:w="5118" w:type="dxa"/>
          <w:vMerge/>
          <w:vAlign w:val="center"/>
        </w:tcPr>
        <w:p w14:paraId="29BA7E12" w14:textId="77777777" w:rsidR="007D3EE4" w:rsidRPr="00D26D23" w:rsidRDefault="007D3EE4" w:rsidP="007D3EE4">
          <w:pPr>
            <w:tabs>
              <w:tab w:val="center" w:pos="4419"/>
              <w:tab w:val="right" w:pos="8838"/>
            </w:tabs>
            <w:jc w:val="center"/>
            <w:rPr>
              <w:rFonts w:ascii="Arial" w:hAnsi="Arial" w:cs="Arial"/>
              <w:b/>
              <w:noProof/>
              <w:snapToGrid w:val="0"/>
              <w:color w:val="auto"/>
              <w:sz w:val="18"/>
              <w:szCs w:val="18"/>
              <w:lang w:val="es-CO" w:eastAsia="es-ES"/>
            </w:rPr>
          </w:pPr>
        </w:p>
      </w:tc>
      <w:tc>
        <w:tcPr>
          <w:tcW w:w="1662" w:type="dxa"/>
          <w:vAlign w:val="center"/>
        </w:tcPr>
        <w:p w14:paraId="72835213"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Versión: 01</w:t>
          </w:r>
        </w:p>
      </w:tc>
    </w:tr>
    <w:tr w:rsidR="007D3EE4" w:rsidRPr="007D3EE4" w14:paraId="555C0996" w14:textId="77777777" w:rsidTr="00581380">
      <w:tblPrEx>
        <w:tblCellMar>
          <w:left w:w="108" w:type="dxa"/>
          <w:right w:w="108" w:type="dxa"/>
        </w:tblCellMar>
      </w:tblPrEx>
      <w:trPr>
        <w:cantSplit/>
        <w:trHeight w:val="392"/>
      </w:trPr>
      <w:tc>
        <w:tcPr>
          <w:tcW w:w="3180" w:type="dxa"/>
          <w:vMerge/>
        </w:tcPr>
        <w:p w14:paraId="5507309F" w14:textId="77777777" w:rsidR="007D3EE4" w:rsidRPr="007D3EE4" w:rsidRDefault="007D3EE4" w:rsidP="007D3EE4">
          <w:pPr>
            <w:tabs>
              <w:tab w:val="center" w:pos="4419"/>
              <w:tab w:val="right" w:pos="8838"/>
            </w:tabs>
            <w:rPr>
              <w:rFonts w:ascii="Arial" w:hAnsi="Arial" w:cs="Arial"/>
              <w:snapToGrid w:val="0"/>
              <w:color w:val="auto"/>
              <w:sz w:val="22"/>
              <w:szCs w:val="20"/>
              <w:lang w:val="es-CO" w:eastAsia="es-ES"/>
            </w:rPr>
          </w:pPr>
        </w:p>
      </w:tc>
      <w:tc>
        <w:tcPr>
          <w:tcW w:w="5118" w:type="dxa"/>
          <w:vMerge w:val="restart"/>
          <w:shd w:val="clear" w:color="auto" w:fill="D9D9D9"/>
          <w:vAlign w:val="center"/>
        </w:tcPr>
        <w:p w14:paraId="0FE11E6E" w14:textId="2E45CF1D"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ESTUDIOS PREVIOS</w:t>
          </w:r>
        </w:p>
      </w:tc>
      <w:tc>
        <w:tcPr>
          <w:tcW w:w="1662" w:type="dxa"/>
          <w:vAlign w:val="center"/>
        </w:tcPr>
        <w:p w14:paraId="4A590D32"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Vigente desde: 2021/07/21</w:t>
          </w:r>
        </w:p>
      </w:tc>
    </w:tr>
    <w:tr w:rsidR="007D3EE4" w:rsidRPr="007D3EE4" w14:paraId="03C24DFD" w14:textId="77777777" w:rsidTr="00581380">
      <w:tblPrEx>
        <w:tblCellMar>
          <w:left w:w="108" w:type="dxa"/>
          <w:right w:w="108" w:type="dxa"/>
        </w:tblCellMar>
      </w:tblPrEx>
      <w:trPr>
        <w:cantSplit/>
        <w:trHeight w:val="490"/>
      </w:trPr>
      <w:tc>
        <w:tcPr>
          <w:tcW w:w="3180" w:type="dxa"/>
          <w:vMerge/>
        </w:tcPr>
        <w:p w14:paraId="46E891D7" w14:textId="77777777" w:rsidR="007D3EE4" w:rsidRPr="007D3EE4" w:rsidRDefault="007D3EE4" w:rsidP="007D3EE4">
          <w:pPr>
            <w:tabs>
              <w:tab w:val="center" w:pos="4419"/>
              <w:tab w:val="right" w:pos="8838"/>
            </w:tabs>
            <w:rPr>
              <w:rFonts w:ascii="Arial" w:hAnsi="Arial" w:cs="Arial"/>
              <w:snapToGrid w:val="0"/>
              <w:color w:val="auto"/>
              <w:sz w:val="22"/>
              <w:szCs w:val="20"/>
              <w:lang w:val="es-CO" w:eastAsia="es-ES"/>
            </w:rPr>
          </w:pPr>
        </w:p>
      </w:tc>
      <w:tc>
        <w:tcPr>
          <w:tcW w:w="5118" w:type="dxa"/>
          <w:vMerge/>
          <w:shd w:val="clear" w:color="auto" w:fill="D9D9D9"/>
          <w:vAlign w:val="center"/>
        </w:tcPr>
        <w:p w14:paraId="632FB07B" w14:textId="77777777" w:rsidR="007D3EE4" w:rsidRPr="00D26D23" w:rsidRDefault="007D3EE4" w:rsidP="007D3EE4">
          <w:pPr>
            <w:tabs>
              <w:tab w:val="center" w:pos="4419"/>
              <w:tab w:val="right" w:pos="8838"/>
            </w:tabs>
            <w:jc w:val="center"/>
            <w:rPr>
              <w:rFonts w:ascii="Arial" w:hAnsi="Arial" w:cs="Arial"/>
              <w:b/>
              <w:snapToGrid w:val="0"/>
              <w:color w:val="auto"/>
              <w:sz w:val="18"/>
              <w:szCs w:val="18"/>
              <w:lang w:val="es-CO" w:eastAsia="es-ES"/>
            </w:rPr>
          </w:pPr>
        </w:p>
      </w:tc>
      <w:tc>
        <w:tcPr>
          <w:tcW w:w="1662" w:type="dxa"/>
          <w:vAlign w:val="center"/>
        </w:tcPr>
        <w:p w14:paraId="3792548C" w14:textId="77777777" w:rsidR="007D3EE4" w:rsidRPr="003067D4" w:rsidRDefault="007D3EE4" w:rsidP="007D3EE4">
          <w:pPr>
            <w:tabs>
              <w:tab w:val="center" w:pos="4419"/>
              <w:tab w:val="right" w:pos="8838"/>
            </w:tabs>
            <w:jc w:val="center"/>
            <w:rPr>
              <w:rFonts w:ascii="Arial" w:hAnsi="Arial" w:cs="Arial"/>
              <w:b/>
              <w:snapToGrid w:val="0"/>
              <w:color w:val="auto"/>
              <w:sz w:val="20"/>
              <w:szCs w:val="20"/>
              <w:lang w:val="es-CO" w:eastAsia="es-ES"/>
            </w:rPr>
          </w:pPr>
          <w:r w:rsidRPr="003067D4">
            <w:rPr>
              <w:rFonts w:ascii="Arial" w:hAnsi="Arial" w:cs="Arial"/>
              <w:b/>
              <w:snapToGrid w:val="0"/>
              <w:color w:val="auto"/>
              <w:sz w:val="20"/>
              <w:szCs w:val="20"/>
              <w:lang w:val="es-CO" w:eastAsia="es-ES"/>
            </w:rPr>
            <w:t xml:space="preserve">Pág. </w:t>
          </w:r>
          <w:r w:rsidRPr="003067D4">
            <w:rPr>
              <w:rFonts w:ascii="Arial" w:hAnsi="Arial" w:cs="Arial"/>
              <w:b/>
              <w:snapToGrid w:val="0"/>
              <w:color w:val="auto"/>
              <w:sz w:val="20"/>
              <w:szCs w:val="20"/>
              <w:lang w:val="es-CO" w:eastAsia="es-ES"/>
            </w:rPr>
            <w:fldChar w:fldCharType="begin"/>
          </w:r>
          <w:r w:rsidRPr="003067D4">
            <w:rPr>
              <w:rFonts w:ascii="Arial" w:hAnsi="Arial" w:cs="Arial"/>
              <w:b/>
              <w:snapToGrid w:val="0"/>
              <w:color w:val="auto"/>
              <w:sz w:val="20"/>
              <w:szCs w:val="20"/>
              <w:lang w:val="es-CO" w:eastAsia="es-ES"/>
            </w:rPr>
            <w:instrText xml:space="preserve"> PAGE </w:instrText>
          </w:r>
          <w:r w:rsidRPr="003067D4">
            <w:rPr>
              <w:rFonts w:ascii="Arial" w:hAnsi="Arial" w:cs="Arial"/>
              <w:b/>
              <w:snapToGrid w:val="0"/>
              <w:color w:val="auto"/>
              <w:sz w:val="20"/>
              <w:szCs w:val="20"/>
              <w:lang w:val="es-CO" w:eastAsia="es-ES"/>
            </w:rPr>
            <w:fldChar w:fldCharType="separate"/>
          </w:r>
          <w:r w:rsidR="003067D4">
            <w:rPr>
              <w:rFonts w:ascii="Arial" w:hAnsi="Arial" w:cs="Arial"/>
              <w:b/>
              <w:noProof/>
              <w:snapToGrid w:val="0"/>
              <w:color w:val="auto"/>
              <w:sz w:val="20"/>
              <w:szCs w:val="20"/>
              <w:lang w:val="es-CO" w:eastAsia="es-ES"/>
            </w:rPr>
            <w:t>10</w:t>
          </w:r>
          <w:r w:rsidRPr="003067D4">
            <w:rPr>
              <w:rFonts w:ascii="Arial" w:hAnsi="Arial" w:cs="Arial"/>
              <w:b/>
              <w:snapToGrid w:val="0"/>
              <w:color w:val="auto"/>
              <w:sz w:val="20"/>
              <w:szCs w:val="20"/>
              <w:lang w:val="es-CO" w:eastAsia="es-ES"/>
            </w:rPr>
            <w:fldChar w:fldCharType="end"/>
          </w:r>
          <w:r w:rsidRPr="003067D4">
            <w:rPr>
              <w:rFonts w:ascii="Arial" w:hAnsi="Arial" w:cs="Arial"/>
              <w:b/>
              <w:snapToGrid w:val="0"/>
              <w:color w:val="auto"/>
              <w:sz w:val="20"/>
              <w:szCs w:val="20"/>
              <w:lang w:val="es-CO" w:eastAsia="es-ES"/>
            </w:rPr>
            <w:t xml:space="preserve"> de </w:t>
          </w:r>
          <w:r w:rsidRPr="003067D4">
            <w:rPr>
              <w:rFonts w:ascii="Arial" w:hAnsi="Arial" w:cs="Arial"/>
              <w:b/>
              <w:snapToGrid w:val="0"/>
              <w:color w:val="auto"/>
              <w:sz w:val="20"/>
              <w:szCs w:val="20"/>
              <w:lang w:val="es-CO" w:eastAsia="es-ES"/>
            </w:rPr>
            <w:fldChar w:fldCharType="begin"/>
          </w:r>
          <w:r w:rsidRPr="003067D4">
            <w:rPr>
              <w:rFonts w:ascii="Arial" w:hAnsi="Arial" w:cs="Arial"/>
              <w:b/>
              <w:snapToGrid w:val="0"/>
              <w:color w:val="auto"/>
              <w:sz w:val="20"/>
              <w:szCs w:val="20"/>
              <w:lang w:val="es-CO" w:eastAsia="es-ES"/>
            </w:rPr>
            <w:instrText xml:space="preserve"> NUMPAGES </w:instrText>
          </w:r>
          <w:r w:rsidRPr="003067D4">
            <w:rPr>
              <w:rFonts w:ascii="Arial" w:hAnsi="Arial" w:cs="Arial"/>
              <w:b/>
              <w:snapToGrid w:val="0"/>
              <w:color w:val="auto"/>
              <w:sz w:val="20"/>
              <w:szCs w:val="20"/>
              <w:lang w:val="es-CO" w:eastAsia="es-ES"/>
            </w:rPr>
            <w:fldChar w:fldCharType="separate"/>
          </w:r>
          <w:r w:rsidR="003067D4">
            <w:rPr>
              <w:rFonts w:ascii="Arial" w:hAnsi="Arial" w:cs="Arial"/>
              <w:b/>
              <w:noProof/>
              <w:snapToGrid w:val="0"/>
              <w:color w:val="auto"/>
              <w:sz w:val="20"/>
              <w:szCs w:val="20"/>
              <w:lang w:val="es-CO" w:eastAsia="es-ES"/>
            </w:rPr>
            <w:t>10</w:t>
          </w:r>
          <w:r w:rsidRPr="003067D4">
            <w:rPr>
              <w:rFonts w:ascii="Arial" w:hAnsi="Arial" w:cs="Arial"/>
              <w:b/>
              <w:snapToGrid w:val="0"/>
              <w:color w:val="auto"/>
              <w:sz w:val="20"/>
              <w:szCs w:val="20"/>
              <w:lang w:val="es-CO" w:eastAsia="es-ES"/>
            </w:rPr>
            <w:fldChar w:fldCharType="end"/>
          </w:r>
        </w:p>
      </w:tc>
    </w:tr>
  </w:tbl>
  <w:p w14:paraId="334E1FD8" w14:textId="77777777" w:rsidR="007D3EE4" w:rsidRDefault="007D3EE4" w:rsidP="009E18B3">
    <w:pPr>
      <w:pStyle w:val="Encabezado"/>
      <w:jc w:val="center"/>
      <w:rPr>
        <w:rFonts w:ascii="Arial" w:hAnsi="Arial" w:cs="Arial"/>
        <w:i/>
        <w:lang w:val="es-CO"/>
      </w:rPr>
    </w:pPr>
  </w:p>
  <w:p w14:paraId="22CE7918" w14:textId="2E41D9D0" w:rsidR="009E18B3" w:rsidRPr="009E18B3" w:rsidRDefault="009E18B3" w:rsidP="009E18B3">
    <w:pPr>
      <w:pStyle w:val="Encabezado"/>
      <w:jc w:val="center"/>
      <w:rPr>
        <w:rFonts w:ascii="Arial" w:hAnsi="Arial" w:cs="Arial"/>
        <w:i/>
        <w:lang w:val="es-CO"/>
      </w:rPr>
    </w:pPr>
    <w:r w:rsidRPr="009E18B3">
      <w:rPr>
        <w:rFonts w:ascii="Arial" w:hAnsi="Arial" w:cs="Arial"/>
        <w:i/>
        <w:lang w:val="es-CO"/>
      </w:rPr>
      <w:t>Contratar la prestación de servicios de apoyo a la gestión para el acompañamiento en los</w:t>
    </w:r>
  </w:p>
  <w:p w14:paraId="660859EB" w14:textId="77777777" w:rsidR="009E18B3" w:rsidRPr="009E18B3" w:rsidRDefault="009E18B3" w:rsidP="009E18B3">
    <w:pPr>
      <w:pStyle w:val="Encabezado"/>
      <w:jc w:val="center"/>
      <w:rPr>
        <w:rFonts w:ascii="Arial" w:hAnsi="Arial" w:cs="Arial"/>
        <w:i/>
        <w:lang w:val="es-CO"/>
      </w:rPr>
    </w:pPr>
    <w:proofErr w:type="gramStart"/>
    <w:r w:rsidRPr="009E18B3">
      <w:rPr>
        <w:rFonts w:ascii="Arial" w:hAnsi="Arial" w:cs="Arial"/>
        <w:i/>
        <w:lang w:val="es-CO"/>
      </w:rPr>
      <w:t>diferentes</w:t>
    </w:r>
    <w:proofErr w:type="gramEnd"/>
    <w:r w:rsidRPr="009E18B3">
      <w:rPr>
        <w:rFonts w:ascii="Arial" w:hAnsi="Arial" w:cs="Arial"/>
        <w:i/>
        <w:lang w:val="es-CO"/>
      </w:rPr>
      <w:t xml:space="preserve"> procesos que se adelantan en la Dirección Técnica de la Empresa Departamental</w:t>
    </w:r>
    <w:bookmarkStart w:id="7" w:name="_GoBack"/>
    <w:bookmarkEnd w:id="7"/>
  </w:p>
  <w:p w14:paraId="3B7609E7" w14:textId="33D3FEB9" w:rsidR="006C0E0D" w:rsidRPr="00BA4F6F" w:rsidRDefault="009E18B3" w:rsidP="009E18B3">
    <w:pPr>
      <w:pStyle w:val="Encabezado"/>
      <w:jc w:val="center"/>
      <w:rPr>
        <w:rFonts w:ascii="Arial" w:hAnsi="Arial" w:cs="Arial"/>
        <w:i/>
        <w:lang w:val="es-CO"/>
      </w:rPr>
    </w:pPr>
    <w:proofErr w:type="gramStart"/>
    <w:r w:rsidRPr="009E18B3">
      <w:rPr>
        <w:rFonts w:ascii="Arial" w:hAnsi="Arial" w:cs="Arial"/>
        <w:i/>
        <w:lang w:val="es-CO"/>
      </w:rPr>
      <w:t>de</w:t>
    </w:r>
    <w:proofErr w:type="gramEnd"/>
    <w:r w:rsidRPr="009E18B3">
      <w:rPr>
        <w:rFonts w:ascii="Arial" w:hAnsi="Arial" w:cs="Arial"/>
        <w:i/>
        <w:lang w:val="es-CO"/>
      </w:rPr>
      <w:t xml:space="preserve"> Acueducto, Alcantarillado y Aseo del Tolima EDAT S.A </w:t>
    </w:r>
    <w:r>
      <w:rPr>
        <w:rFonts w:ascii="Arial" w:hAnsi="Arial" w:cs="Arial"/>
        <w:i/>
        <w:lang w:val="es-CO"/>
      </w:rPr>
      <w:t xml:space="preserve">E.S.P. Oficial, como Gestor del </w:t>
    </w:r>
    <w:r w:rsidRPr="009E18B3">
      <w:rPr>
        <w:rFonts w:ascii="Arial" w:hAnsi="Arial" w:cs="Arial"/>
        <w:i/>
        <w:lang w:val="es-CO"/>
      </w:rPr>
      <w:t>Plan Departamental de Agua del Tolima.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2194" w14:textId="77777777" w:rsidR="00D26D23" w:rsidRDefault="00D26D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C57"/>
    <w:multiLevelType w:val="hybridMultilevel"/>
    <w:tmpl w:val="C00640DA"/>
    <w:lvl w:ilvl="0" w:tplc="96D4D4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9463E"/>
    <w:multiLevelType w:val="hybridMultilevel"/>
    <w:tmpl w:val="F07C7B5C"/>
    <w:lvl w:ilvl="0" w:tplc="1818D7B4">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3E0640"/>
    <w:multiLevelType w:val="hybridMultilevel"/>
    <w:tmpl w:val="77DC8EBA"/>
    <w:lvl w:ilvl="0" w:tplc="1986883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24167"/>
    <w:multiLevelType w:val="hybridMultilevel"/>
    <w:tmpl w:val="E4788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585325"/>
    <w:multiLevelType w:val="hybridMultilevel"/>
    <w:tmpl w:val="344A4A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11406E"/>
    <w:multiLevelType w:val="hybridMultilevel"/>
    <w:tmpl w:val="000C350E"/>
    <w:lvl w:ilvl="0" w:tplc="138AD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6F2D0F"/>
    <w:multiLevelType w:val="hybridMultilevel"/>
    <w:tmpl w:val="8F9AA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6A38C7"/>
    <w:multiLevelType w:val="hybridMultilevel"/>
    <w:tmpl w:val="66A09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7E1F03"/>
    <w:multiLevelType w:val="hybridMultilevel"/>
    <w:tmpl w:val="17D82308"/>
    <w:lvl w:ilvl="0" w:tplc="6C847DFE">
      <w:start w:val="1"/>
      <w:numFmt w:val="decimal"/>
      <w:lvlText w:val="%1."/>
      <w:lvlJc w:val="left"/>
      <w:pPr>
        <w:ind w:left="1777" w:hanging="360"/>
      </w:pPr>
      <w:rPr>
        <w:rFonts w:ascii="Arial" w:eastAsia="Times New Roman" w:hAnsi="Arial" w:cs="Arial"/>
        <w:b/>
        <w:sz w:val="22"/>
      </w:rPr>
    </w:lvl>
    <w:lvl w:ilvl="1" w:tplc="080A0019" w:tentative="1">
      <w:start w:val="1"/>
      <w:numFmt w:val="lowerLetter"/>
      <w:lvlText w:val="%2."/>
      <w:lvlJc w:val="left"/>
      <w:pPr>
        <w:ind w:left="2497" w:hanging="360"/>
      </w:pPr>
    </w:lvl>
    <w:lvl w:ilvl="2" w:tplc="080A001B" w:tentative="1">
      <w:start w:val="1"/>
      <w:numFmt w:val="lowerRoman"/>
      <w:lvlText w:val="%3."/>
      <w:lvlJc w:val="right"/>
      <w:pPr>
        <w:ind w:left="3217" w:hanging="180"/>
      </w:pPr>
    </w:lvl>
    <w:lvl w:ilvl="3" w:tplc="080A000F" w:tentative="1">
      <w:start w:val="1"/>
      <w:numFmt w:val="decimal"/>
      <w:lvlText w:val="%4."/>
      <w:lvlJc w:val="left"/>
      <w:pPr>
        <w:ind w:left="3937" w:hanging="360"/>
      </w:pPr>
    </w:lvl>
    <w:lvl w:ilvl="4" w:tplc="080A0019" w:tentative="1">
      <w:start w:val="1"/>
      <w:numFmt w:val="lowerLetter"/>
      <w:lvlText w:val="%5."/>
      <w:lvlJc w:val="left"/>
      <w:pPr>
        <w:ind w:left="4657" w:hanging="360"/>
      </w:pPr>
    </w:lvl>
    <w:lvl w:ilvl="5" w:tplc="080A001B" w:tentative="1">
      <w:start w:val="1"/>
      <w:numFmt w:val="lowerRoman"/>
      <w:lvlText w:val="%6."/>
      <w:lvlJc w:val="right"/>
      <w:pPr>
        <w:ind w:left="5377" w:hanging="180"/>
      </w:pPr>
    </w:lvl>
    <w:lvl w:ilvl="6" w:tplc="080A000F" w:tentative="1">
      <w:start w:val="1"/>
      <w:numFmt w:val="decimal"/>
      <w:lvlText w:val="%7."/>
      <w:lvlJc w:val="left"/>
      <w:pPr>
        <w:ind w:left="6097" w:hanging="360"/>
      </w:pPr>
    </w:lvl>
    <w:lvl w:ilvl="7" w:tplc="080A0019" w:tentative="1">
      <w:start w:val="1"/>
      <w:numFmt w:val="lowerLetter"/>
      <w:lvlText w:val="%8."/>
      <w:lvlJc w:val="left"/>
      <w:pPr>
        <w:ind w:left="6817" w:hanging="360"/>
      </w:pPr>
    </w:lvl>
    <w:lvl w:ilvl="8" w:tplc="080A001B" w:tentative="1">
      <w:start w:val="1"/>
      <w:numFmt w:val="lowerRoman"/>
      <w:lvlText w:val="%9."/>
      <w:lvlJc w:val="right"/>
      <w:pPr>
        <w:ind w:left="7537" w:hanging="180"/>
      </w:pPr>
    </w:lvl>
  </w:abstractNum>
  <w:abstractNum w:abstractNumId="9" w15:restartNumberingAfterBreak="0">
    <w:nsid w:val="4F1C2558"/>
    <w:multiLevelType w:val="hybridMultilevel"/>
    <w:tmpl w:val="BF581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1F72720"/>
    <w:multiLevelType w:val="hybridMultilevel"/>
    <w:tmpl w:val="591A9EDE"/>
    <w:lvl w:ilvl="0" w:tplc="8280CD60">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2761C16"/>
    <w:multiLevelType w:val="hybridMultilevel"/>
    <w:tmpl w:val="4F12C8EE"/>
    <w:lvl w:ilvl="0" w:tplc="FAD20FAA">
      <w:start w:val="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D52A9F"/>
    <w:multiLevelType w:val="hybridMultilevel"/>
    <w:tmpl w:val="AACCF9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CEE37C0"/>
    <w:multiLevelType w:val="hybridMultilevel"/>
    <w:tmpl w:val="F6FCD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3E68E8"/>
    <w:multiLevelType w:val="hybridMultilevel"/>
    <w:tmpl w:val="A3B4DF7A"/>
    <w:lvl w:ilvl="0" w:tplc="D5B0633A">
      <w:start w:val="2"/>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2"/>
  </w:num>
  <w:num w:numId="5">
    <w:abstractNumId w:val="10"/>
  </w:num>
  <w:num w:numId="6">
    <w:abstractNumId w:val="14"/>
  </w:num>
  <w:num w:numId="7">
    <w:abstractNumId w:val="4"/>
  </w:num>
  <w:num w:numId="8">
    <w:abstractNumId w:val="5"/>
  </w:num>
  <w:num w:numId="9">
    <w:abstractNumId w:val="11"/>
  </w:num>
  <w:num w:numId="10">
    <w:abstractNumId w:val="1"/>
  </w:num>
  <w:num w:numId="11">
    <w:abstractNumId w:val="9"/>
  </w:num>
  <w:num w:numId="12">
    <w:abstractNumId w:val="13"/>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FA"/>
    <w:rsid w:val="000035EF"/>
    <w:rsid w:val="000037E3"/>
    <w:rsid w:val="00030BE6"/>
    <w:rsid w:val="00046F80"/>
    <w:rsid w:val="00056C0F"/>
    <w:rsid w:val="000571C1"/>
    <w:rsid w:val="00073D8B"/>
    <w:rsid w:val="000B05C6"/>
    <w:rsid w:val="000B0E58"/>
    <w:rsid w:val="000C2193"/>
    <w:rsid w:val="000C62C7"/>
    <w:rsid w:val="000E12A3"/>
    <w:rsid w:val="000F0634"/>
    <w:rsid w:val="001066AA"/>
    <w:rsid w:val="00113B0F"/>
    <w:rsid w:val="00117378"/>
    <w:rsid w:val="001235F5"/>
    <w:rsid w:val="00123648"/>
    <w:rsid w:val="00124B69"/>
    <w:rsid w:val="00134C64"/>
    <w:rsid w:val="001459CA"/>
    <w:rsid w:val="001675BA"/>
    <w:rsid w:val="00167C21"/>
    <w:rsid w:val="00174C41"/>
    <w:rsid w:val="00176EC3"/>
    <w:rsid w:val="00176FFC"/>
    <w:rsid w:val="00187AF4"/>
    <w:rsid w:val="00194463"/>
    <w:rsid w:val="001B1D1B"/>
    <w:rsid w:val="001B2582"/>
    <w:rsid w:val="001C3D9F"/>
    <w:rsid w:val="001C5143"/>
    <w:rsid w:val="001D68B3"/>
    <w:rsid w:val="001D7488"/>
    <w:rsid w:val="001E1250"/>
    <w:rsid w:val="001F6BC0"/>
    <w:rsid w:val="00203EC1"/>
    <w:rsid w:val="00212324"/>
    <w:rsid w:val="00216FEF"/>
    <w:rsid w:val="00225029"/>
    <w:rsid w:val="00227C36"/>
    <w:rsid w:val="002340EF"/>
    <w:rsid w:val="0023597D"/>
    <w:rsid w:val="0024240E"/>
    <w:rsid w:val="0024660F"/>
    <w:rsid w:val="00250144"/>
    <w:rsid w:val="0025367D"/>
    <w:rsid w:val="00254C14"/>
    <w:rsid w:val="0026095A"/>
    <w:rsid w:val="0028297A"/>
    <w:rsid w:val="00287242"/>
    <w:rsid w:val="002934D8"/>
    <w:rsid w:val="00296D01"/>
    <w:rsid w:val="002A00FA"/>
    <w:rsid w:val="002A62A9"/>
    <w:rsid w:val="002A6473"/>
    <w:rsid w:val="002B15E8"/>
    <w:rsid w:val="002C1B09"/>
    <w:rsid w:val="003067D4"/>
    <w:rsid w:val="003124AA"/>
    <w:rsid w:val="003162A0"/>
    <w:rsid w:val="00322F75"/>
    <w:rsid w:val="00336B35"/>
    <w:rsid w:val="00352710"/>
    <w:rsid w:val="003631F0"/>
    <w:rsid w:val="003733A6"/>
    <w:rsid w:val="003814DA"/>
    <w:rsid w:val="003830CF"/>
    <w:rsid w:val="0039786D"/>
    <w:rsid w:val="00397DF3"/>
    <w:rsid w:val="003A305B"/>
    <w:rsid w:val="003A5A81"/>
    <w:rsid w:val="003C7596"/>
    <w:rsid w:val="003D60A5"/>
    <w:rsid w:val="003F62BF"/>
    <w:rsid w:val="003F7D99"/>
    <w:rsid w:val="00422494"/>
    <w:rsid w:val="00450429"/>
    <w:rsid w:val="00451EC5"/>
    <w:rsid w:val="0045239E"/>
    <w:rsid w:val="00455EB1"/>
    <w:rsid w:val="00456F07"/>
    <w:rsid w:val="00481522"/>
    <w:rsid w:val="00485927"/>
    <w:rsid w:val="004A795B"/>
    <w:rsid w:val="004B4FC8"/>
    <w:rsid w:val="004B5F89"/>
    <w:rsid w:val="004B7825"/>
    <w:rsid w:val="004C0118"/>
    <w:rsid w:val="004C285D"/>
    <w:rsid w:val="004F45BA"/>
    <w:rsid w:val="004F5D08"/>
    <w:rsid w:val="00507490"/>
    <w:rsid w:val="00513D80"/>
    <w:rsid w:val="0051479B"/>
    <w:rsid w:val="00530992"/>
    <w:rsid w:val="005417D5"/>
    <w:rsid w:val="00543F1D"/>
    <w:rsid w:val="00550CAB"/>
    <w:rsid w:val="005552ED"/>
    <w:rsid w:val="0055796D"/>
    <w:rsid w:val="00563B96"/>
    <w:rsid w:val="00575C95"/>
    <w:rsid w:val="00576606"/>
    <w:rsid w:val="00576A7C"/>
    <w:rsid w:val="00581380"/>
    <w:rsid w:val="00584434"/>
    <w:rsid w:val="00594EB1"/>
    <w:rsid w:val="005B0253"/>
    <w:rsid w:val="005B3B57"/>
    <w:rsid w:val="005C1CD6"/>
    <w:rsid w:val="005C4555"/>
    <w:rsid w:val="005C6AC0"/>
    <w:rsid w:val="005D03BF"/>
    <w:rsid w:val="005D4C0E"/>
    <w:rsid w:val="005D4E24"/>
    <w:rsid w:val="005D584B"/>
    <w:rsid w:val="005F0A00"/>
    <w:rsid w:val="005F2FB3"/>
    <w:rsid w:val="00601B67"/>
    <w:rsid w:val="00607308"/>
    <w:rsid w:val="006111DC"/>
    <w:rsid w:val="00616820"/>
    <w:rsid w:val="00620C65"/>
    <w:rsid w:val="006264FF"/>
    <w:rsid w:val="00634473"/>
    <w:rsid w:val="00634F39"/>
    <w:rsid w:val="00640E92"/>
    <w:rsid w:val="006428B3"/>
    <w:rsid w:val="006478D0"/>
    <w:rsid w:val="00651CF0"/>
    <w:rsid w:val="00663004"/>
    <w:rsid w:val="0067057F"/>
    <w:rsid w:val="006925FE"/>
    <w:rsid w:val="006A23F4"/>
    <w:rsid w:val="006B3172"/>
    <w:rsid w:val="006B568B"/>
    <w:rsid w:val="006C089E"/>
    <w:rsid w:val="006C0E0D"/>
    <w:rsid w:val="006C2403"/>
    <w:rsid w:val="006C2DBF"/>
    <w:rsid w:val="006C4D0D"/>
    <w:rsid w:val="006C5CD1"/>
    <w:rsid w:val="006E0C4C"/>
    <w:rsid w:val="006E568A"/>
    <w:rsid w:val="007307B0"/>
    <w:rsid w:val="00734877"/>
    <w:rsid w:val="00740A69"/>
    <w:rsid w:val="007426AF"/>
    <w:rsid w:val="00742940"/>
    <w:rsid w:val="00743B9B"/>
    <w:rsid w:val="00761328"/>
    <w:rsid w:val="0076203A"/>
    <w:rsid w:val="007663E3"/>
    <w:rsid w:val="00766F6E"/>
    <w:rsid w:val="007864C7"/>
    <w:rsid w:val="007865F8"/>
    <w:rsid w:val="007928D7"/>
    <w:rsid w:val="0079474A"/>
    <w:rsid w:val="007A02E1"/>
    <w:rsid w:val="007A7567"/>
    <w:rsid w:val="007B0B8F"/>
    <w:rsid w:val="007B3786"/>
    <w:rsid w:val="007B3CB9"/>
    <w:rsid w:val="007D3EE4"/>
    <w:rsid w:val="007E273C"/>
    <w:rsid w:val="007E3239"/>
    <w:rsid w:val="007E39AB"/>
    <w:rsid w:val="00814552"/>
    <w:rsid w:val="00827184"/>
    <w:rsid w:val="00831CD0"/>
    <w:rsid w:val="00840F44"/>
    <w:rsid w:val="008445C9"/>
    <w:rsid w:val="00844822"/>
    <w:rsid w:val="00853EF1"/>
    <w:rsid w:val="00855908"/>
    <w:rsid w:val="00862E85"/>
    <w:rsid w:val="00866FB6"/>
    <w:rsid w:val="00871963"/>
    <w:rsid w:val="00884CC0"/>
    <w:rsid w:val="00885C27"/>
    <w:rsid w:val="00885E58"/>
    <w:rsid w:val="00895EDB"/>
    <w:rsid w:val="008A2674"/>
    <w:rsid w:val="008C083D"/>
    <w:rsid w:val="008D4BDD"/>
    <w:rsid w:val="008D6E52"/>
    <w:rsid w:val="008E0AAB"/>
    <w:rsid w:val="008E45CA"/>
    <w:rsid w:val="008E5823"/>
    <w:rsid w:val="008F142E"/>
    <w:rsid w:val="00904C36"/>
    <w:rsid w:val="0090772F"/>
    <w:rsid w:val="00913219"/>
    <w:rsid w:val="009148DD"/>
    <w:rsid w:val="0092459F"/>
    <w:rsid w:val="009276DF"/>
    <w:rsid w:val="00927B1E"/>
    <w:rsid w:val="009320CC"/>
    <w:rsid w:val="00937034"/>
    <w:rsid w:val="00937DB7"/>
    <w:rsid w:val="00946CF8"/>
    <w:rsid w:val="0095737A"/>
    <w:rsid w:val="00957CFC"/>
    <w:rsid w:val="00967182"/>
    <w:rsid w:val="00995F0F"/>
    <w:rsid w:val="009973D9"/>
    <w:rsid w:val="009A0624"/>
    <w:rsid w:val="009A1FC9"/>
    <w:rsid w:val="009A60B0"/>
    <w:rsid w:val="009C5056"/>
    <w:rsid w:val="009D05E8"/>
    <w:rsid w:val="009D16B5"/>
    <w:rsid w:val="009D69F1"/>
    <w:rsid w:val="009E18B3"/>
    <w:rsid w:val="00A00EDC"/>
    <w:rsid w:val="00A05C7C"/>
    <w:rsid w:val="00A13AC6"/>
    <w:rsid w:val="00A16AE7"/>
    <w:rsid w:val="00A51B5B"/>
    <w:rsid w:val="00A665ED"/>
    <w:rsid w:val="00A667DD"/>
    <w:rsid w:val="00A71FF4"/>
    <w:rsid w:val="00A7246B"/>
    <w:rsid w:val="00A72E1F"/>
    <w:rsid w:val="00A80E6C"/>
    <w:rsid w:val="00A95149"/>
    <w:rsid w:val="00A9691E"/>
    <w:rsid w:val="00AA680E"/>
    <w:rsid w:val="00AB00CC"/>
    <w:rsid w:val="00AB3B78"/>
    <w:rsid w:val="00AC680C"/>
    <w:rsid w:val="00AC7671"/>
    <w:rsid w:val="00AD420C"/>
    <w:rsid w:val="00AE460D"/>
    <w:rsid w:val="00B01042"/>
    <w:rsid w:val="00B17314"/>
    <w:rsid w:val="00B2382C"/>
    <w:rsid w:val="00B34950"/>
    <w:rsid w:val="00B540C1"/>
    <w:rsid w:val="00B563DA"/>
    <w:rsid w:val="00B565AF"/>
    <w:rsid w:val="00B65BD9"/>
    <w:rsid w:val="00BA4F6F"/>
    <w:rsid w:val="00BB4D8D"/>
    <w:rsid w:val="00BC7920"/>
    <w:rsid w:val="00BD2102"/>
    <w:rsid w:val="00BE0BB1"/>
    <w:rsid w:val="00BE17C1"/>
    <w:rsid w:val="00BE1AD8"/>
    <w:rsid w:val="00BF2112"/>
    <w:rsid w:val="00C1733A"/>
    <w:rsid w:val="00C3055A"/>
    <w:rsid w:val="00C33CCD"/>
    <w:rsid w:val="00C34FCB"/>
    <w:rsid w:val="00C50C94"/>
    <w:rsid w:val="00C57FFC"/>
    <w:rsid w:val="00C6223A"/>
    <w:rsid w:val="00C66A52"/>
    <w:rsid w:val="00C71108"/>
    <w:rsid w:val="00C74870"/>
    <w:rsid w:val="00C87382"/>
    <w:rsid w:val="00CA1AFD"/>
    <w:rsid w:val="00CA7622"/>
    <w:rsid w:val="00CB06EE"/>
    <w:rsid w:val="00CB1457"/>
    <w:rsid w:val="00CB16CA"/>
    <w:rsid w:val="00CC2A7F"/>
    <w:rsid w:val="00CC74F3"/>
    <w:rsid w:val="00CD6AB7"/>
    <w:rsid w:val="00CE0718"/>
    <w:rsid w:val="00CF5B7F"/>
    <w:rsid w:val="00D26D23"/>
    <w:rsid w:val="00D30309"/>
    <w:rsid w:val="00D308FF"/>
    <w:rsid w:val="00D330DD"/>
    <w:rsid w:val="00D44EEA"/>
    <w:rsid w:val="00D54824"/>
    <w:rsid w:val="00D71548"/>
    <w:rsid w:val="00D80437"/>
    <w:rsid w:val="00D81670"/>
    <w:rsid w:val="00D83AD5"/>
    <w:rsid w:val="00D83EC6"/>
    <w:rsid w:val="00D87815"/>
    <w:rsid w:val="00D940A9"/>
    <w:rsid w:val="00DB3C4F"/>
    <w:rsid w:val="00DB73BA"/>
    <w:rsid w:val="00DC29EB"/>
    <w:rsid w:val="00DC4CBC"/>
    <w:rsid w:val="00DD56F5"/>
    <w:rsid w:val="00DE12AE"/>
    <w:rsid w:val="00DE4DBC"/>
    <w:rsid w:val="00DF3889"/>
    <w:rsid w:val="00E01578"/>
    <w:rsid w:val="00E03641"/>
    <w:rsid w:val="00E054B4"/>
    <w:rsid w:val="00E113EE"/>
    <w:rsid w:val="00E21B7D"/>
    <w:rsid w:val="00E25739"/>
    <w:rsid w:val="00E35AEA"/>
    <w:rsid w:val="00E42DD9"/>
    <w:rsid w:val="00E551B5"/>
    <w:rsid w:val="00E9222B"/>
    <w:rsid w:val="00E956A9"/>
    <w:rsid w:val="00EA0687"/>
    <w:rsid w:val="00EA6313"/>
    <w:rsid w:val="00EB2041"/>
    <w:rsid w:val="00EC2648"/>
    <w:rsid w:val="00EE6E98"/>
    <w:rsid w:val="00EF3A35"/>
    <w:rsid w:val="00EF4A7F"/>
    <w:rsid w:val="00F0120A"/>
    <w:rsid w:val="00F02DF7"/>
    <w:rsid w:val="00F07C78"/>
    <w:rsid w:val="00F1417A"/>
    <w:rsid w:val="00F22A84"/>
    <w:rsid w:val="00F4123E"/>
    <w:rsid w:val="00F546B8"/>
    <w:rsid w:val="00F61E75"/>
    <w:rsid w:val="00F62BE9"/>
    <w:rsid w:val="00F6563C"/>
    <w:rsid w:val="00F67907"/>
    <w:rsid w:val="00F76BD6"/>
    <w:rsid w:val="00F80819"/>
    <w:rsid w:val="00F8308B"/>
    <w:rsid w:val="00F94636"/>
    <w:rsid w:val="00F9496E"/>
    <w:rsid w:val="00F95610"/>
    <w:rsid w:val="00FA438C"/>
    <w:rsid w:val="00FD2584"/>
    <w:rsid w:val="00FE4E8E"/>
    <w:rsid w:val="00FE51F7"/>
    <w:rsid w:val="00FF0518"/>
    <w:rsid w:val="00FF456F"/>
    <w:rsid w:val="00FF7D1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E7D58C"/>
  <w15:docId w15:val="{5305E95A-BB9E-4E3F-9131-248C3B9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FA"/>
    <w:pPr>
      <w:widowControl w:val="0"/>
      <w:spacing w:after="0" w:line="240" w:lineRule="auto"/>
    </w:pPr>
    <w:rPr>
      <w:rFonts w:ascii="Courier New" w:eastAsia="Times New Roman" w:hAnsi="Courier New" w:cs="Courier New"/>
      <w:color w:val="000000"/>
      <w:sz w:val="24"/>
      <w:szCs w:val="24"/>
      <w:lang w:val="es-ES_tradnl" w:eastAsia="es-ES_tradnl"/>
    </w:rPr>
  </w:style>
  <w:style w:type="paragraph" w:styleId="Ttulo3">
    <w:name w:val="heading 3"/>
    <w:basedOn w:val="Normal"/>
    <w:next w:val="Normal"/>
    <w:link w:val="Ttulo3Car"/>
    <w:uiPriority w:val="9"/>
    <w:unhideWhenUsed/>
    <w:qFormat/>
    <w:rsid w:val="00576A7C"/>
    <w:pPr>
      <w:keepNext/>
      <w:keepLines/>
      <w:spacing w:before="200"/>
      <w:outlineLvl w:val="2"/>
    </w:pPr>
    <w:rPr>
      <w:rFonts w:asciiTheme="majorHAnsi" w:eastAsiaTheme="majorEastAsia" w:hAnsiTheme="majorHAnsi" w:cstheme="majorBidi"/>
      <w:b/>
      <w:bCs/>
      <w:snapToGrid w:val="0"/>
      <w:color w:val="4F81BD" w:themeColor="accent1"/>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
    <w:basedOn w:val="Normal"/>
    <w:link w:val="PrrafodelistaCar"/>
    <w:uiPriority w:val="34"/>
    <w:qFormat/>
    <w:rsid w:val="002A00FA"/>
    <w:pPr>
      <w:ind w:left="720"/>
      <w:contextualSpacing/>
    </w:pPr>
  </w:style>
  <w:style w:type="paragraph" w:styleId="Encabezado">
    <w:name w:val="header"/>
    <w:aliases w:val=" Car,h,h8,h9,h10,h18,encabezado"/>
    <w:basedOn w:val="Normal"/>
    <w:link w:val="EncabezadoCar"/>
    <w:uiPriority w:val="99"/>
    <w:unhideWhenUsed/>
    <w:rsid w:val="002A00FA"/>
    <w:pPr>
      <w:tabs>
        <w:tab w:val="center" w:pos="4419"/>
        <w:tab w:val="right" w:pos="8838"/>
      </w:tabs>
    </w:pPr>
    <w:rPr>
      <w:rFonts w:ascii="Times New Roman" w:hAnsi="Times New Roman" w:cs="Times New Roman"/>
      <w:snapToGrid w:val="0"/>
      <w:color w:val="auto"/>
      <w:sz w:val="20"/>
      <w:szCs w:val="20"/>
      <w:lang w:val="en-US" w:eastAsia="es-ES"/>
    </w:rPr>
  </w:style>
  <w:style w:type="character" w:customStyle="1" w:styleId="EncabezadoCar">
    <w:name w:val="Encabezado Car"/>
    <w:aliases w:val=" Car Car,h Car,h8 Car,h9 Car,h10 Car,h18 Car,encabezado Car"/>
    <w:basedOn w:val="Fuentedeprrafopredeter"/>
    <w:link w:val="Encabezado"/>
    <w:uiPriority w:val="99"/>
    <w:rsid w:val="002A00FA"/>
    <w:rPr>
      <w:rFonts w:ascii="Times New Roman" w:eastAsia="Times New Roman" w:hAnsi="Times New Roman" w:cs="Times New Roman"/>
      <w:snapToGrid w:val="0"/>
      <w:sz w:val="20"/>
      <w:szCs w:val="20"/>
      <w:lang w:val="en-US" w:eastAsia="es-ES"/>
    </w:rPr>
  </w:style>
  <w:style w:type="paragraph" w:styleId="Piedepgina">
    <w:name w:val="footer"/>
    <w:basedOn w:val="Normal"/>
    <w:link w:val="PiedepginaCar"/>
    <w:uiPriority w:val="99"/>
    <w:unhideWhenUsed/>
    <w:rsid w:val="002A00FA"/>
    <w:pPr>
      <w:tabs>
        <w:tab w:val="center" w:pos="4419"/>
        <w:tab w:val="right" w:pos="8838"/>
      </w:tabs>
    </w:pPr>
    <w:rPr>
      <w:rFonts w:ascii="Times New Roman" w:hAnsi="Times New Roman" w:cs="Times New Roman"/>
      <w:snapToGrid w:val="0"/>
      <w:color w:val="auto"/>
      <w:sz w:val="20"/>
      <w:szCs w:val="20"/>
      <w:lang w:val="en-US" w:eastAsia="es-ES"/>
    </w:rPr>
  </w:style>
  <w:style w:type="character" w:customStyle="1" w:styleId="PiedepginaCar">
    <w:name w:val="Pie de página Car"/>
    <w:basedOn w:val="Fuentedeprrafopredeter"/>
    <w:link w:val="Piedepgina"/>
    <w:uiPriority w:val="99"/>
    <w:rsid w:val="002A00FA"/>
    <w:rPr>
      <w:rFonts w:ascii="Times New Roman" w:eastAsia="Times New Roman" w:hAnsi="Times New Roman" w:cs="Times New Roman"/>
      <w:snapToGrid w:val="0"/>
      <w:sz w:val="20"/>
      <w:szCs w:val="20"/>
      <w:lang w:val="en-US" w:eastAsia="es-ES"/>
    </w:rPr>
  </w:style>
  <w:style w:type="character" w:styleId="Hipervnculo">
    <w:name w:val="Hyperlink"/>
    <w:uiPriority w:val="99"/>
    <w:unhideWhenUsed/>
    <w:rsid w:val="002A00FA"/>
    <w:rPr>
      <w:color w:val="0000FF"/>
      <w:u w:val="single"/>
    </w:rPr>
  </w:style>
  <w:style w:type="paragraph" w:styleId="NormalWeb">
    <w:name w:val="Normal (Web)"/>
    <w:basedOn w:val="Normal"/>
    <w:uiPriority w:val="99"/>
    <w:unhideWhenUsed/>
    <w:rsid w:val="002A00FA"/>
    <w:pPr>
      <w:widowControl/>
    </w:pPr>
    <w:rPr>
      <w:rFonts w:ascii="Times New Roman" w:hAnsi="Times New Roman" w:cs="Times New Roman"/>
      <w:color w:val="auto"/>
      <w:lang w:val="es-ES" w:eastAsia="es-ES"/>
    </w:rPr>
  </w:style>
  <w:style w:type="character" w:styleId="Nmerodepgina">
    <w:name w:val="page number"/>
    <w:rsid w:val="002A00FA"/>
  </w:style>
  <w:style w:type="character" w:customStyle="1" w:styleId="PrrafodelistaCar">
    <w:name w:val="Párrafo de lista Car"/>
    <w:aliases w:val="VIÑETAS Car"/>
    <w:link w:val="Prrafodelista"/>
    <w:uiPriority w:val="34"/>
    <w:rsid w:val="002A00FA"/>
    <w:rPr>
      <w:rFonts w:ascii="Courier New" w:eastAsia="Times New Roman" w:hAnsi="Courier New" w:cs="Courier New"/>
      <w:color w:val="000000"/>
      <w:sz w:val="24"/>
      <w:szCs w:val="24"/>
      <w:lang w:val="es-ES_tradnl" w:eastAsia="es-ES_tradnl"/>
    </w:rPr>
  </w:style>
  <w:style w:type="table" w:styleId="Tablaconcuadrcula">
    <w:name w:val="Table Grid"/>
    <w:basedOn w:val="Tablanormal"/>
    <w:uiPriority w:val="59"/>
    <w:rsid w:val="002A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A00FA"/>
    <w:pPr>
      <w:spacing w:after="0" w:line="240" w:lineRule="auto"/>
    </w:pPr>
    <w:rPr>
      <w:rFonts w:ascii="Calibri" w:eastAsia="Times New Roman" w:hAnsi="Calibri" w:cs="Times New Roman"/>
      <w:lang w:val="es-MX" w:eastAsia="es-MX"/>
    </w:rPr>
  </w:style>
  <w:style w:type="paragraph" w:styleId="Textonotapie">
    <w:name w:val="footnote text"/>
    <w:basedOn w:val="Normal"/>
    <w:link w:val="TextonotapieCar"/>
    <w:uiPriority w:val="99"/>
    <w:unhideWhenUsed/>
    <w:rsid w:val="002A00FA"/>
    <w:pPr>
      <w:widowControl/>
    </w:pPr>
    <w:rPr>
      <w:rFonts w:ascii="Calibri" w:hAnsi="Calibri" w:cs="Times New Roman"/>
      <w:color w:val="auto"/>
      <w:sz w:val="20"/>
      <w:szCs w:val="20"/>
      <w:lang w:val="es-MX" w:eastAsia="es-MX"/>
    </w:rPr>
  </w:style>
  <w:style w:type="character" w:customStyle="1" w:styleId="TextonotapieCar">
    <w:name w:val="Texto nota pie Car"/>
    <w:basedOn w:val="Fuentedeprrafopredeter"/>
    <w:link w:val="Textonotapie"/>
    <w:uiPriority w:val="99"/>
    <w:rsid w:val="002A00FA"/>
    <w:rPr>
      <w:rFonts w:ascii="Calibri" w:eastAsia="Times New Roman" w:hAnsi="Calibri" w:cs="Times New Roman"/>
      <w:sz w:val="20"/>
      <w:szCs w:val="20"/>
      <w:lang w:val="es-MX" w:eastAsia="es-MX"/>
    </w:rPr>
  </w:style>
  <w:style w:type="character" w:styleId="Refdenotaalpie">
    <w:name w:val="footnote reference"/>
    <w:basedOn w:val="Fuentedeprrafopredeter"/>
    <w:uiPriority w:val="99"/>
    <w:unhideWhenUsed/>
    <w:rsid w:val="002A00FA"/>
    <w:rPr>
      <w:vertAlign w:val="superscript"/>
    </w:rPr>
  </w:style>
  <w:style w:type="character" w:customStyle="1" w:styleId="apple-converted-space">
    <w:name w:val="apple-converted-space"/>
    <w:basedOn w:val="Fuentedeprrafopredeter"/>
    <w:rsid w:val="002A00FA"/>
  </w:style>
  <w:style w:type="character" w:styleId="Textoennegrita">
    <w:name w:val="Strong"/>
    <w:basedOn w:val="Fuentedeprrafopredeter"/>
    <w:uiPriority w:val="22"/>
    <w:qFormat/>
    <w:rsid w:val="002A00FA"/>
    <w:rPr>
      <w:b/>
      <w:bCs/>
    </w:rPr>
  </w:style>
  <w:style w:type="paragraph" w:customStyle="1" w:styleId="Default">
    <w:name w:val="Default"/>
    <w:link w:val="DefaultCar"/>
    <w:rsid w:val="002A00FA"/>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SinespaciadoCar">
    <w:name w:val="Sin espaciado Car"/>
    <w:link w:val="Sinespaciado"/>
    <w:uiPriority w:val="1"/>
    <w:locked/>
    <w:rsid w:val="002A00FA"/>
    <w:rPr>
      <w:rFonts w:ascii="Calibri" w:eastAsia="Times New Roman" w:hAnsi="Calibri" w:cs="Times New Roman"/>
      <w:lang w:val="es-MX" w:eastAsia="es-MX"/>
    </w:rPr>
  </w:style>
  <w:style w:type="paragraph" w:styleId="Textodeglobo">
    <w:name w:val="Balloon Text"/>
    <w:basedOn w:val="Normal"/>
    <w:link w:val="TextodegloboCar"/>
    <w:uiPriority w:val="99"/>
    <w:semiHidden/>
    <w:unhideWhenUsed/>
    <w:rsid w:val="00937034"/>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034"/>
    <w:rPr>
      <w:rFonts w:ascii="Tahoma" w:eastAsia="Times New Roman" w:hAnsi="Tahoma" w:cs="Tahoma"/>
      <w:color w:val="000000"/>
      <w:sz w:val="16"/>
      <w:szCs w:val="16"/>
      <w:lang w:val="es-ES_tradnl" w:eastAsia="es-ES_tradnl"/>
    </w:rPr>
  </w:style>
  <w:style w:type="character" w:customStyle="1" w:styleId="DefaultCar">
    <w:name w:val="Default Car"/>
    <w:link w:val="Default"/>
    <w:locked/>
    <w:rsid w:val="003A305B"/>
    <w:rPr>
      <w:rFonts w:ascii="Arial" w:eastAsia="Times New Roman" w:hAnsi="Arial" w:cs="Arial"/>
      <w:color w:val="000000"/>
      <w:sz w:val="24"/>
      <w:szCs w:val="24"/>
      <w:lang w:eastAsia="es-CO"/>
    </w:rPr>
  </w:style>
  <w:style w:type="character" w:customStyle="1" w:styleId="Ttulo3Car">
    <w:name w:val="Título 3 Car"/>
    <w:basedOn w:val="Fuentedeprrafopredeter"/>
    <w:link w:val="Ttulo3"/>
    <w:uiPriority w:val="9"/>
    <w:rsid w:val="00576A7C"/>
    <w:rPr>
      <w:rFonts w:asciiTheme="majorHAnsi" w:eastAsiaTheme="majorEastAsia" w:hAnsiTheme="majorHAnsi" w:cstheme="majorBidi"/>
      <w:b/>
      <w:bCs/>
      <w:snapToGrid w:val="0"/>
      <w:color w:val="4F81BD" w:themeColor="accent1"/>
      <w:sz w:val="20"/>
      <w:szCs w:val="20"/>
      <w:lang w:val="es-ES" w:eastAsia="es-ES"/>
    </w:rPr>
  </w:style>
  <w:style w:type="character" w:styleId="nfasis">
    <w:name w:val="Emphasis"/>
    <w:basedOn w:val="Fuentedeprrafopredeter"/>
    <w:uiPriority w:val="20"/>
    <w:qFormat/>
    <w:rsid w:val="008D6E52"/>
    <w:rPr>
      <w:i/>
      <w:iCs/>
    </w:rPr>
  </w:style>
  <w:style w:type="character" w:styleId="Refdecomentario">
    <w:name w:val="annotation reference"/>
    <w:basedOn w:val="Fuentedeprrafopredeter"/>
    <w:uiPriority w:val="99"/>
    <w:semiHidden/>
    <w:unhideWhenUsed/>
    <w:rsid w:val="00AA680E"/>
    <w:rPr>
      <w:sz w:val="16"/>
      <w:szCs w:val="16"/>
    </w:rPr>
  </w:style>
  <w:style w:type="paragraph" w:styleId="Textocomentario">
    <w:name w:val="annotation text"/>
    <w:basedOn w:val="Normal"/>
    <w:link w:val="TextocomentarioCar"/>
    <w:uiPriority w:val="99"/>
    <w:semiHidden/>
    <w:unhideWhenUsed/>
    <w:rsid w:val="00AA680E"/>
    <w:rPr>
      <w:sz w:val="20"/>
      <w:szCs w:val="20"/>
    </w:rPr>
  </w:style>
  <w:style w:type="character" w:customStyle="1" w:styleId="TextocomentarioCar">
    <w:name w:val="Texto comentario Car"/>
    <w:basedOn w:val="Fuentedeprrafopredeter"/>
    <w:link w:val="Textocomentario"/>
    <w:uiPriority w:val="99"/>
    <w:semiHidden/>
    <w:rsid w:val="00AA680E"/>
    <w:rPr>
      <w:rFonts w:ascii="Courier New" w:eastAsia="Times New Roman" w:hAnsi="Courier New" w:cs="Courier New"/>
      <w:color w:val="000000"/>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A680E"/>
    <w:rPr>
      <w:b/>
      <w:bCs/>
    </w:rPr>
  </w:style>
  <w:style w:type="character" w:customStyle="1" w:styleId="AsuntodelcomentarioCar">
    <w:name w:val="Asunto del comentario Car"/>
    <w:basedOn w:val="TextocomentarioCar"/>
    <w:link w:val="Asuntodelcomentario"/>
    <w:uiPriority w:val="99"/>
    <w:semiHidden/>
    <w:rsid w:val="00AA680E"/>
    <w:rPr>
      <w:rFonts w:ascii="Courier New" w:eastAsia="Times New Roman" w:hAnsi="Courier New" w:cs="Courier New"/>
      <w:b/>
      <w:bCs/>
      <w:color w:val="000000"/>
      <w:sz w:val="20"/>
      <w:szCs w:val="20"/>
      <w:lang w:val="es-ES_tradnl" w:eastAsia="es-ES_tradnl"/>
    </w:rPr>
  </w:style>
  <w:style w:type="paragraph" w:styleId="Textonotaalfinal">
    <w:name w:val="endnote text"/>
    <w:basedOn w:val="Normal"/>
    <w:link w:val="TextonotaalfinalCar"/>
    <w:uiPriority w:val="99"/>
    <w:semiHidden/>
    <w:unhideWhenUsed/>
    <w:rsid w:val="007865F8"/>
    <w:rPr>
      <w:sz w:val="20"/>
      <w:szCs w:val="20"/>
    </w:rPr>
  </w:style>
  <w:style w:type="character" w:customStyle="1" w:styleId="TextonotaalfinalCar">
    <w:name w:val="Texto nota al final Car"/>
    <w:basedOn w:val="Fuentedeprrafopredeter"/>
    <w:link w:val="Textonotaalfinal"/>
    <w:uiPriority w:val="99"/>
    <w:semiHidden/>
    <w:rsid w:val="007865F8"/>
    <w:rPr>
      <w:rFonts w:ascii="Courier New" w:eastAsia="Times New Roman" w:hAnsi="Courier New" w:cs="Courier New"/>
      <w:color w:val="000000"/>
      <w:sz w:val="20"/>
      <w:szCs w:val="20"/>
      <w:lang w:val="es-ES_tradnl" w:eastAsia="es-ES_tradnl"/>
    </w:rPr>
  </w:style>
  <w:style w:type="character" w:styleId="Refdenotaalfinal">
    <w:name w:val="endnote reference"/>
    <w:basedOn w:val="Fuentedeprrafopredeter"/>
    <w:uiPriority w:val="99"/>
    <w:semiHidden/>
    <w:unhideWhenUsed/>
    <w:rsid w:val="00786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7818">
      <w:bodyDiv w:val="1"/>
      <w:marLeft w:val="0"/>
      <w:marRight w:val="0"/>
      <w:marTop w:val="0"/>
      <w:marBottom w:val="0"/>
      <w:divBdr>
        <w:top w:val="none" w:sz="0" w:space="0" w:color="auto"/>
        <w:left w:val="none" w:sz="0" w:space="0" w:color="auto"/>
        <w:bottom w:val="none" w:sz="0" w:space="0" w:color="auto"/>
        <w:right w:val="none" w:sz="0" w:space="0" w:color="auto"/>
      </w:divBdr>
    </w:div>
    <w:div w:id="40984418">
      <w:bodyDiv w:val="1"/>
      <w:marLeft w:val="0"/>
      <w:marRight w:val="0"/>
      <w:marTop w:val="0"/>
      <w:marBottom w:val="0"/>
      <w:divBdr>
        <w:top w:val="none" w:sz="0" w:space="0" w:color="auto"/>
        <w:left w:val="none" w:sz="0" w:space="0" w:color="auto"/>
        <w:bottom w:val="none" w:sz="0" w:space="0" w:color="auto"/>
        <w:right w:val="none" w:sz="0" w:space="0" w:color="auto"/>
      </w:divBdr>
    </w:div>
    <w:div w:id="366177936">
      <w:bodyDiv w:val="1"/>
      <w:marLeft w:val="0"/>
      <w:marRight w:val="0"/>
      <w:marTop w:val="0"/>
      <w:marBottom w:val="0"/>
      <w:divBdr>
        <w:top w:val="none" w:sz="0" w:space="0" w:color="auto"/>
        <w:left w:val="none" w:sz="0" w:space="0" w:color="auto"/>
        <w:bottom w:val="none" w:sz="0" w:space="0" w:color="auto"/>
        <w:right w:val="none" w:sz="0" w:space="0" w:color="auto"/>
      </w:divBdr>
    </w:div>
    <w:div w:id="489178704">
      <w:bodyDiv w:val="1"/>
      <w:marLeft w:val="0"/>
      <w:marRight w:val="0"/>
      <w:marTop w:val="0"/>
      <w:marBottom w:val="0"/>
      <w:divBdr>
        <w:top w:val="none" w:sz="0" w:space="0" w:color="auto"/>
        <w:left w:val="none" w:sz="0" w:space="0" w:color="auto"/>
        <w:bottom w:val="none" w:sz="0" w:space="0" w:color="auto"/>
        <w:right w:val="none" w:sz="0" w:space="0" w:color="auto"/>
      </w:divBdr>
    </w:div>
    <w:div w:id="548806706">
      <w:bodyDiv w:val="1"/>
      <w:marLeft w:val="0"/>
      <w:marRight w:val="0"/>
      <w:marTop w:val="0"/>
      <w:marBottom w:val="0"/>
      <w:divBdr>
        <w:top w:val="none" w:sz="0" w:space="0" w:color="auto"/>
        <w:left w:val="none" w:sz="0" w:space="0" w:color="auto"/>
        <w:bottom w:val="none" w:sz="0" w:space="0" w:color="auto"/>
        <w:right w:val="none" w:sz="0" w:space="0" w:color="auto"/>
      </w:divBdr>
    </w:div>
    <w:div w:id="1009598167">
      <w:bodyDiv w:val="1"/>
      <w:marLeft w:val="0"/>
      <w:marRight w:val="0"/>
      <w:marTop w:val="0"/>
      <w:marBottom w:val="0"/>
      <w:divBdr>
        <w:top w:val="none" w:sz="0" w:space="0" w:color="auto"/>
        <w:left w:val="none" w:sz="0" w:space="0" w:color="auto"/>
        <w:bottom w:val="none" w:sz="0" w:space="0" w:color="auto"/>
        <w:right w:val="none" w:sz="0" w:space="0" w:color="auto"/>
      </w:divBdr>
    </w:div>
    <w:div w:id="1100685977">
      <w:bodyDiv w:val="1"/>
      <w:marLeft w:val="0"/>
      <w:marRight w:val="0"/>
      <w:marTop w:val="0"/>
      <w:marBottom w:val="0"/>
      <w:divBdr>
        <w:top w:val="none" w:sz="0" w:space="0" w:color="auto"/>
        <w:left w:val="none" w:sz="0" w:space="0" w:color="auto"/>
        <w:bottom w:val="none" w:sz="0" w:space="0" w:color="auto"/>
        <w:right w:val="none" w:sz="0" w:space="0" w:color="auto"/>
      </w:divBdr>
    </w:div>
    <w:div w:id="1279600434">
      <w:bodyDiv w:val="1"/>
      <w:marLeft w:val="0"/>
      <w:marRight w:val="0"/>
      <w:marTop w:val="0"/>
      <w:marBottom w:val="0"/>
      <w:divBdr>
        <w:top w:val="none" w:sz="0" w:space="0" w:color="auto"/>
        <w:left w:val="none" w:sz="0" w:space="0" w:color="auto"/>
        <w:bottom w:val="none" w:sz="0" w:space="0" w:color="auto"/>
        <w:right w:val="none" w:sz="0" w:space="0" w:color="auto"/>
      </w:divBdr>
    </w:div>
    <w:div w:id="1453476151">
      <w:bodyDiv w:val="1"/>
      <w:marLeft w:val="0"/>
      <w:marRight w:val="0"/>
      <w:marTop w:val="0"/>
      <w:marBottom w:val="0"/>
      <w:divBdr>
        <w:top w:val="none" w:sz="0" w:space="0" w:color="auto"/>
        <w:left w:val="none" w:sz="0" w:space="0" w:color="auto"/>
        <w:bottom w:val="none" w:sz="0" w:space="0" w:color="auto"/>
        <w:right w:val="none" w:sz="0" w:space="0" w:color="auto"/>
      </w:divBdr>
    </w:div>
    <w:div w:id="1631089459">
      <w:bodyDiv w:val="1"/>
      <w:marLeft w:val="0"/>
      <w:marRight w:val="0"/>
      <w:marTop w:val="0"/>
      <w:marBottom w:val="0"/>
      <w:divBdr>
        <w:top w:val="none" w:sz="0" w:space="0" w:color="auto"/>
        <w:left w:val="none" w:sz="0" w:space="0" w:color="auto"/>
        <w:bottom w:val="none" w:sz="0" w:space="0" w:color="auto"/>
        <w:right w:val="none" w:sz="0" w:space="0" w:color="auto"/>
      </w:divBdr>
    </w:div>
    <w:div w:id="1853571540">
      <w:bodyDiv w:val="1"/>
      <w:marLeft w:val="0"/>
      <w:marRight w:val="0"/>
      <w:marTop w:val="0"/>
      <w:marBottom w:val="0"/>
      <w:divBdr>
        <w:top w:val="none" w:sz="0" w:space="0" w:color="auto"/>
        <w:left w:val="none" w:sz="0" w:space="0" w:color="auto"/>
        <w:bottom w:val="none" w:sz="0" w:space="0" w:color="auto"/>
        <w:right w:val="none" w:sz="0" w:space="0" w:color="auto"/>
      </w:divBdr>
    </w:div>
    <w:div w:id="19133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dat.gov.co" TargetMode="External"/><Relationship Id="rId1" Type="http://schemas.openxmlformats.org/officeDocument/2006/relationships/hyperlink" Target="mailto:gerencia@edat.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1190" TargetMode="External"/><Relationship Id="rId7" Type="http://schemas.openxmlformats.org/officeDocument/2006/relationships/hyperlink" Target="http://www.alcaldiabogota.gov.co/sisjur/normas/Norma1.jsp?i=28825" TargetMode="External"/><Relationship Id="rId2" Type="http://schemas.openxmlformats.org/officeDocument/2006/relationships/hyperlink" Target="http://www.alcaldiabogota.gov.co/sisjur/normas/Norma1.jsp?i=321" TargetMode="External"/><Relationship Id="rId1" Type="http://schemas.openxmlformats.org/officeDocument/2006/relationships/hyperlink" Target="http://www.alcaldiabogota.gov.co/sisjur/normas/Norma1.jsp?i=3410" TargetMode="External"/><Relationship Id="rId6" Type="http://schemas.openxmlformats.org/officeDocument/2006/relationships/hyperlink" Target="http://www.alcaldiabogota.gov.co/sisjur/normas/Norma1.jsp?i=12606" TargetMode="External"/><Relationship Id="rId5" Type="http://schemas.openxmlformats.org/officeDocument/2006/relationships/hyperlink" Target="http://www.alcaldiabogota.gov.co/sisjur/normas/Norma1.jsp?i=134" TargetMode="External"/><Relationship Id="rId4" Type="http://schemas.openxmlformats.org/officeDocument/2006/relationships/hyperlink" Target="http://www.alcaldiabogota.gov.co/sisjur/normas/Norma1.jsp?i=12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8C5F-583E-4C53-B54A-50DDF1EC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3708</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EDAT PAULA</dc:creator>
  <cp:lastModifiedBy>Nancy puentes</cp:lastModifiedBy>
  <cp:revision>7</cp:revision>
  <cp:lastPrinted>2021-02-09T18:42:00Z</cp:lastPrinted>
  <dcterms:created xsi:type="dcterms:W3CDTF">2021-07-22T00:08:00Z</dcterms:created>
  <dcterms:modified xsi:type="dcterms:W3CDTF">2021-10-20T01:50:00Z</dcterms:modified>
</cp:coreProperties>
</file>